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1B4277F5">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eastAsia="zh-CN"/>
        </w:rPr>
        <w:t>桐城师范高等专科学校</w:t>
      </w:r>
      <w:r>
        <w:rPr>
          <w:rFonts w:hint="eastAsia" w:ascii="宋体" w:hAnsi="宋体" w:cs="宋体"/>
          <w:b/>
          <w:color w:val="auto"/>
          <w:sz w:val="44"/>
          <w:szCs w:val="44"/>
          <w:highlight w:val="none"/>
          <w:lang w:val="en-US" w:eastAsia="zh-CN"/>
        </w:rPr>
        <w:t>中外交流合作办学</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服务采购</w:t>
      </w:r>
      <w:r>
        <w:rPr>
          <w:rFonts w:hint="eastAsia" w:ascii="宋体" w:hAnsi="宋体" w:cs="宋体"/>
          <w:b/>
          <w:color w:val="auto"/>
          <w:sz w:val="44"/>
          <w:szCs w:val="44"/>
          <w:highlight w:val="none"/>
          <w:lang w:val="en-US" w:eastAsia="zh-CN"/>
        </w:rPr>
        <w:t>项目</w:t>
      </w:r>
    </w:p>
    <w:p w14:paraId="65A287D0">
      <w:pPr>
        <w:spacing w:line="480" w:lineRule="exact"/>
        <w:rPr>
          <w:rFonts w:ascii="宋体"/>
          <w:color w:val="auto"/>
          <w:sz w:val="44"/>
          <w:szCs w:val="44"/>
          <w:highlight w:val="none"/>
        </w:rPr>
      </w:pPr>
    </w:p>
    <w:p w14:paraId="5550E19F">
      <w:pPr>
        <w:pStyle w:val="81"/>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015</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b/>
          <w:color w:val="auto"/>
          <w:spacing w:val="20"/>
          <w:sz w:val="30"/>
          <w:szCs w:val="30"/>
          <w:highlight w:val="none"/>
          <w:u w:val="single"/>
          <w:lang w:val="en-US" w:eastAsia="zh-CN"/>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安徽文都招标代理咨询有限公司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06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21464"/>
      <w:bookmarkStart w:id="1" w:name="_Toc54941328"/>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8A29D7A">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572B36DB">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桐城师范高等专科学校中外交流合作办学服务采购项目 </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桐城师范高等专科学校中外交流合作办学服务采购项目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 2025 年 6 月 27 日 15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798"/>
      <w:bookmarkStart w:id="8" w:name="_Toc28359012"/>
      <w:bookmarkStart w:id="9" w:name="_Toc35393629"/>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015</w:t>
      </w:r>
      <w:r>
        <w:rPr>
          <w:rFonts w:hint="eastAsia" w:ascii="仿宋" w:hAnsi="仿宋" w:eastAsia="仿宋" w:cs="Times New Roman"/>
          <w:color w:val="auto"/>
          <w:sz w:val="28"/>
          <w:szCs w:val="28"/>
          <w:highlight w:val="none"/>
          <w:lang w:eastAsia="zh-CN"/>
        </w:rPr>
        <w:t>号</w:t>
      </w:r>
    </w:p>
    <w:p w14:paraId="0C93F60D">
      <w:pPr>
        <w:ind w:firstLine="560" w:firstLineChars="2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桐城师范高等专科学校中外交流合作办学服务采购项目</w:t>
      </w:r>
    </w:p>
    <w:p w14:paraId="568F08E8">
      <w:pPr>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123000.00元</w:t>
      </w:r>
    </w:p>
    <w:p w14:paraId="703123F0">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123000.00元</w:t>
      </w:r>
    </w:p>
    <w:p w14:paraId="23841486">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桐城师范高等专科学校中外交流合作办学服务采购项目，</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至完成本项目所有服务内容</w:t>
      </w:r>
      <w:r>
        <w:rPr>
          <w:rFonts w:hint="eastAsia" w:ascii="仿宋" w:hAnsi="仿宋" w:eastAsia="仿宋"/>
          <w:color w:val="auto"/>
          <w:sz w:val="28"/>
          <w:szCs w:val="28"/>
          <w:highlight w:val="none"/>
          <w:lang w:eastAsia="zh-CN"/>
        </w:rPr>
        <w:t>。</w:t>
      </w:r>
    </w:p>
    <w:p w14:paraId="0ABE9767">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35393799"/>
      <w:bookmarkStart w:id="13" w:name="_Toc35393630"/>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631"/>
      <w:bookmarkStart w:id="16" w:name="_Toc28359014"/>
      <w:bookmarkStart w:id="17" w:name="_Toc35393800"/>
      <w:bookmarkStart w:id="18" w:name="_Toc28359091"/>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0113B260">
      <w:pPr>
        <w:pStyle w:val="42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05D18DB">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①服务商具有对外合作办学的服务业绩（服务内容包含翻译、高校出访），投标时需提供服务业绩的证明材料扫描件或影印件；</w:t>
      </w:r>
    </w:p>
    <w:p w14:paraId="25D07A7C">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②服务商具有与俄罗斯高校合作的证明和材料，投标时需提供至少二所俄罗斯国立大学的合作协议扫描件或影印件。</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6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27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15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35393632"/>
      <w:bookmarkStart w:id="21" w:name="_Toc28359015"/>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16"/>
      <w:bookmarkStart w:id="24" w:name="_Toc35393802"/>
      <w:bookmarkStart w:id="25" w:name="_Toc35393633"/>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6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27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15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28359094"/>
      <w:bookmarkStart w:id="29" w:name="_Toc35393634"/>
      <w:bookmarkStart w:id="30" w:name="_Toc35393803"/>
      <w:r>
        <w:rPr>
          <w:rFonts w:hint="eastAsia" w:ascii="仿宋" w:hAnsi="仿宋" w:eastAsia="仿宋"/>
          <w:color w:val="auto"/>
          <w:sz w:val="28"/>
          <w:szCs w:val="28"/>
          <w:highlight w:val="none"/>
          <w:lang w:val="en-US" w:eastAsia="zh-CN"/>
        </w:rPr>
        <w:t>时间：2025年 6 月 27 日 15</w:t>
      </w:r>
      <w:bookmarkStart w:id="127" w:name="_GoBack"/>
      <w:bookmarkEnd w:id="127"/>
      <w:r>
        <w:rPr>
          <w:rFonts w:hint="eastAsia" w:ascii="仿宋" w:hAnsi="仿宋" w:eastAsia="仿宋"/>
          <w:color w:val="auto"/>
          <w:sz w:val="28"/>
          <w:szCs w:val="28"/>
          <w:highlight w:val="none"/>
          <w:lang w:val="en-US" w:eastAsia="zh-CN"/>
        </w:rPr>
        <w:t xml:space="preserve"> 时 00 分</w:t>
      </w:r>
    </w:p>
    <w:p w14:paraId="35AEB74B">
      <w:pPr>
        <w:ind w:firstLine="560" w:firstLineChars="200"/>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0B9AD01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11266"/>
      <w:bookmarkStart w:id="35" w:name="_Toc5494132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54941330"/>
      <w:bookmarkStart w:id="38" w:name="_Toc17862"/>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7325"/>
      <w:bookmarkStart w:id="43" w:name="_Toc439316919"/>
      <w:bookmarkStart w:id="44" w:name="_Toc25270"/>
      <w:bookmarkStart w:id="45" w:name="_Toc21078"/>
      <w:bookmarkStart w:id="46" w:name="_Toc15055"/>
      <w:bookmarkStart w:id="47" w:name="_Toc10523"/>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7113"/>
      <w:bookmarkStart w:id="50" w:name="_Toc1704"/>
      <w:bookmarkStart w:id="51" w:name="_Toc439316920"/>
      <w:bookmarkStart w:id="52" w:name="_Toc8228"/>
      <w:bookmarkStart w:id="53" w:name="_Toc24643"/>
      <w:bookmarkStart w:id="54" w:name="_Toc439316874"/>
      <w:bookmarkStart w:id="55" w:name="_Toc1093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E34F29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4340E3D">
      <w:pPr>
        <w:spacing w:line="360" w:lineRule="auto"/>
        <w:ind w:firstLine="562" w:firstLineChars="200"/>
        <w:rPr>
          <w:sz w:val="28"/>
          <w:szCs w:val="28"/>
        </w:rPr>
      </w:pPr>
      <w:bookmarkStart w:id="66" w:name="_Toc16371"/>
      <w:r>
        <w:rPr>
          <w:rFonts w:hint="eastAsia" w:ascii="宋体" w:hAnsi="宋体"/>
          <w:b/>
          <w:bCs/>
          <w:sz w:val="28"/>
          <w:szCs w:val="28"/>
        </w:rPr>
        <w:t>一、商务要求：</w:t>
      </w:r>
    </w:p>
    <w:tbl>
      <w:tblPr>
        <w:tblStyle w:val="61"/>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480"/>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1055F66A">
            <w:pPr>
              <w:pStyle w:val="31"/>
              <w:jc w:val="center"/>
              <w:rPr>
                <w:rFonts w:cs="Wingdings" w:asciiTheme="minorEastAsia" w:hAnsiTheme="minorEastAsia"/>
                <w:b/>
                <w:sz w:val="28"/>
                <w:szCs w:val="28"/>
              </w:rPr>
            </w:pPr>
            <w:r>
              <w:rPr>
                <w:rFonts w:hint="eastAsia" w:cs="Wingdings" w:asciiTheme="minorEastAsia" w:hAnsiTheme="minorEastAsia"/>
                <w:b/>
                <w:sz w:val="28"/>
                <w:szCs w:val="28"/>
              </w:rPr>
              <w:t>序号</w:t>
            </w:r>
          </w:p>
        </w:tc>
        <w:tc>
          <w:tcPr>
            <w:tcW w:w="2391" w:type="dxa"/>
            <w:vAlign w:val="center"/>
          </w:tcPr>
          <w:p w14:paraId="6E2B50B3">
            <w:pPr>
              <w:pStyle w:val="31"/>
              <w:jc w:val="center"/>
              <w:rPr>
                <w:sz w:val="28"/>
                <w:szCs w:val="28"/>
              </w:rPr>
            </w:pPr>
            <w:r>
              <w:rPr>
                <w:rFonts w:hint="eastAsia" w:asciiTheme="minorEastAsia" w:hAnsiTheme="minorEastAsia"/>
                <w:b/>
                <w:bCs/>
                <w:sz w:val="28"/>
                <w:szCs w:val="28"/>
              </w:rPr>
              <w:t>条款名称</w:t>
            </w:r>
          </w:p>
        </w:tc>
        <w:tc>
          <w:tcPr>
            <w:tcW w:w="5480" w:type="dxa"/>
            <w:vAlign w:val="center"/>
          </w:tcPr>
          <w:p w14:paraId="60D085B1">
            <w:pPr>
              <w:pStyle w:val="31"/>
              <w:jc w:val="center"/>
              <w:rPr>
                <w:rFonts w:cs="Wingdings" w:asciiTheme="minorEastAsia" w:hAnsiTheme="minorEastAsia"/>
                <w:b/>
                <w:sz w:val="28"/>
                <w:szCs w:val="28"/>
              </w:rPr>
            </w:pPr>
            <w:r>
              <w:rPr>
                <w:rFonts w:hint="eastAsia" w:cs="Wingdings" w:asciiTheme="minorEastAsia" w:hAnsiTheme="minorEastAsia"/>
                <w:b/>
                <w:sz w:val="28"/>
                <w:szCs w:val="28"/>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jc w:val="center"/>
        </w:trPr>
        <w:tc>
          <w:tcPr>
            <w:tcW w:w="808" w:type="dxa"/>
            <w:vAlign w:val="center"/>
          </w:tcPr>
          <w:p w14:paraId="5718AE4C">
            <w:pPr>
              <w:jc w:val="center"/>
              <w:rPr>
                <w:rFonts w:asciiTheme="minorEastAsia" w:hAnsiTheme="minorEastAsia" w:eastAsiaTheme="minorEastAsia"/>
                <w:sz w:val="28"/>
                <w:szCs w:val="28"/>
              </w:rPr>
            </w:pPr>
            <w:r>
              <w:rPr>
                <w:rFonts w:asciiTheme="minorEastAsia" w:hAnsiTheme="minorEastAsia" w:eastAsiaTheme="minorEastAsia"/>
                <w:sz w:val="28"/>
                <w:szCs w:val="28"/>
              </w:rPr>
              <w:t>1</w:t>
            </w:r>
          </w:p>
        </w:tc>
        <w:tc>
          <w:tcPr>
            <w:tcW w:w="2391" w:type="dxa"/>
            <w:vAlign w:val="center"/>
          </w:tcPr>
          <w:p w14:paraId="7F3CB39D">
            <w:pPr>
              <w:jc w:val="center"/>
              <w:rPr>
                <w:rFonts w:ascii="宋体" w:hAnsi="宋体"/>
                <w:sz w:val="28"/>
                <w:szCs w:val="28"/>
              </w:rPr>
            </w:pPr>
            <w:r>
              <w:rPr>
                <w:rFonts w:asciiTheme="minorEastAsia" w:hAnsiTheme="minorEastAsia" w:eastAsiaTheme="minorEastAsia"/>
                <w:sz w:val="28"/>
                <w:szCs w:val="28"/>
              </w:rPr>
              <w:t>付款方式</w:t>
            </w:r>
          </w:p>
        </w:tc>
        <w:tc>
          <w:tcPr>
            <w:tcW w:w="5480" w:type="dxa"/>
            <w:vAlign w:val="center"/>
          </w:tcPr>
          <w:p w14:paraId="1755DE0D">
            <w:pPr>
              <w:spacing w:line="360" w:lineRule="auto"/>
              <w:jc w:val="center"/>
              <w:rPr>
                <w:rFonts w:asciiTheme="minorEastAsia" w:hAnsiTheme="minorEastAsia" w:eastAsiaTheme="minorEastAsia"/>
                <w:sz w:val="28"/>
                <w:szCs w:val="28"/>
              </w:rPr>
            </w:pPr>
            <w:r>
              <w:rPr>
                <w:rFonts w:hint="eastAsia" w:asciiTheme="minorEastAsia" w:hAnsiTheme="minorEastAsia" w:eastAsiaTheme="minorEastAsia"/>
                <w:sz w:val="28"/>
                <w:szCs w:val="28"/>
                <w:lang w:val="en-US" w:eastAsia="zh-CN"/>
              </w:rPr>
              <w:t>完成本项目所有服务内容并</w:t>
            </w:r>
            <w:r>
              <w:rPr>
                <w:rFonts w:asciiTheme="minorEastAsia" w:hAnsiTheme="minorEastAsia" w:eastAsiaTheme="minorEastAsia"/>
                <w:sz w:val="28"/>
                <w:szCs w:val="28"/>
              </w:rPr>
              <w:t>验收合格后</w:t>
            </w:r>
          </w:p>
          <w:p w14:paraId="45DCF696">
            <w:pPr>
              <w:spacing w:line="360" w:lineRule="auto"/>
              <w:jc w:val="center"/>
              <w:rPr>
                <w:rFonts w:asciiTheme="minorEastAsia" w:hAnsiTheme="minorEastAsia" w:eastAsiaTheme="minorEastAsia"/>
                <w:sz w:val="28"/>
                <w:szCs w:val="28"/>
              </w:rPr>
            </w:pPr>
            <w:r>
              <w:rPr>
                <w:rFonts w:asciiTheme="minorEastAsia" w:hAnsiTheme="minorEastAsia" w:eastAsiaTheme="minorEastAsia"/>
                <w:sz w:val="28"/>
                <w:szCs w:val="28"/>
              </w:rPr>
              <w:t>一次性付清合同价款</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0D513324">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2</w:t>
            </w:r>
          </w:p>
        </w:tc>
        <w:tc>
          <w:tcPr>
            <w:tcW w:w="2391" w:type="dxa"/>
            <w:vAlign w:val="center"/>
          </w:tcPr>
          <w:p w14:paraId="02E31182">
            <w:pPr>
              <w:jc w:val="center"/>
              <w:rPr>
                <w:rFonts w:ascii="宋体" w:hAnsi="宋体"/>
                <w:sz w:val="28"/>
                <w:szCs w:val="28"/>
              </w:rPr>
            </w:pPr>
            <w:r>
              <w:rPr>
                <w:rFonts w:hint="eastAsia" w:ascii="宋体" w:hAnsi="宋体"/>
                <w:sz w:val="28"/>
                <w:szCs w:val="28"/>
              </w:rPr>
              <w:t>服务地点</w:t>
            </w:r>
          </w:p>
        </w:tc>
        <w:tc>
          <w:tcPr>
            <w:tcW w:w="5480" w:type="dxa"/>
            <w:vAlign w:val="center"/>
          </w:tcPr>
          <w:p w14:paraId="36280093">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桐城师范高等专科学校</w:t>
            </w:r>
          </w:p>
        </w:tc>
      </w:tr>
      <w:tr w14:paraId="1F75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1" w:hRule="atLeast"/>
          <w:jc w:val="center"/>
        </w:trPr>
        <w:tc>
          <w:tcPr>
            <w:tcW w:w="808" w:type="dxa"/>
            <w:vAlign w:val="center"/>
          </w:tcPr>
          <w:p w14:paraId="1DD7B33E">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3</w:t>
            </w:r>
          </w:p>
        </w:tc>
        <w:tc>
          <w:tcPr>
            <w:tcW w:w="2391" w:type="dxa"/>
            <w:vAlign w:val="center"/>
          </w:tcPr>
          <w:p w14:paraId="7530F893">
            <w:pPr>
              <w:jc w:val="center"/>
              <w:rPr>
                <w:rFonts w:ascii="宋体" w:hAnsi="宋体"/>
                <w:sz w:val="28"/>
                <w:szCs w:val="28"/>
              </w:rPr>
            </w:pPr>
            <w:r>
              <w:rPr>
                <w:rFonts w:hint="eastAsia" w:ascii="宋体" w:hAnsi="宋体"/>
                <w:sz w:val="28"/>
                <w:szCs w:val="28"/>
              </w:rPr>
              <w:t>服务期限</w:t>
            </w:r>
          </w:p>
        </w:tc>
        <w:tc>
          <w:tcPr>
            <w:tcW w:w="5480" w:type="dxa"/>
            <w:vAlign w:val="center"/>
          </w:tcPr>
          <w:p w14:paraId="33E40A50">
            <w:pPr>
              <w:jc w:val="center"/>
              <w:rPr>
                <w:rFonts w:hint="default" w:asciiTheme="minorEastAsia" w:hAnsiTheme="minorEastAsia" w:eastAsiaTheme="minorEastAsia"/>
                <w:sz w:val="28"/>
                <w:szCs w:val="28"/>
                <w:lang w:val="en-US" w:eastAsia="zh-CN"/>
              </w:rPr>
            </w:pPr>
            <w:r>
              <w:rPr>
                <w:rFonts w:hint="eastAsia" w:asciiTheme="minorEastAsia" w:hAnsiTheme="minorEastAsia" w:eastAsiaTheme="minorEastAsia"/>
                <w:sz w:val="28"/>
                <w:szCs w:val="28"/>
                <w:lang w:val="en-US" w:eastAsia="zh-CN"/>
              </w:rPr>
              <w:t>至完成本项目所有服务内容</w:t>
            </w:r>
          </w:p>
        </w:tc>
      </w:tr>
    </w:tbl>
    <w:p w14:paraId="4FE4EB3C">
      <w:pPr>
        <w:pStyle w:val="4"/>
        <w:pageBreakBefore w:val="0"/>
        <w:widowControl w:val="0"/>
        <w:numPr>
          <w:ilvl w:val="0"/>
          <w:numId w:val="6"/>
        </w:numPr>
        <w:kinsoku/>
        <w:overflowPunct/>
        <w:topLinePunct w:val="0"/>
        <w:autoSpaceDE/>
        <w:autoSpaceDN/>
        <w:bidi w:val="0"/>
        <w:adjustRightInd/>
        <w:snapToGrid/>
        <w:spacing w:line="360" w:lineRule="auto"/>
        <w:ind w:firstLine="551" w:firstLineChars="196"/>
        <w:textAlignment w:val="auto"/>
        <w:rPr>
          <w:bCs/>
          <w:sz w:val="28"/>
          <w:szCs w:val="28"/>
        </w:rPr>
      </w:pPr>
      <w:r>
        <w:rPr>
          <w:rFonts w:hint="eastAsia"/>
          <w:bCs/>
          <w:sz w:val="28"/>
          <w:szCs w:val="28"/>
        </w:rPr>
        <w:t>服务内容</w:t>
      </w:r>
    </w:p>
    <w:p w14:paraId="3B1E5180">
      <w:pPr>
        <w:numPr>
          <w:ilvl w:val="0"/>
          <w:numId w:val="7"/>
        </w:numPr>
        <w:ind w:firstLine="560" w:firstLineChars="200"/>
        <w:rPr>
          <w:rFonts w:hint="eastAsia"/>
          <w:b w:val="0"/>
          <w:bCs w:val="0"/>
          <w:sz w:val="28"/>
          <w:szCs w:val="28"/>
          <w:lang w:val="en-US" w:eastAsia="zh-CN"/>
        </w:rPr>
      </w:pPr>
      <w:r>
        <w:rPr>
          <w:rFonts w:hint="eastAsia"/>
          <w:b w:val="0"/>
          <w:bCs w:val="0"/>
          <w:sz w:val="28"/>
          <w:szCs w:val="28"/>
          <w:lang w:val="en-US" w:eastAsia="zh-CN"/>
        </w:rPr>
        <w:t>交流生带队教师出访项目费用：</w:t>
      </w:r>
    </w:p>
    <w:p w14:paraId="121BD7D2">
      <w:pPr>
        <w:numPr>
          <w:ilvl w:val="0"/>
          <w:numId w:val="0"/>
        </w:numPr>
        <w:ind w:firstLine="560" w:firstLineChars="200"/>
        <w:rPr>
          <w:rFonts w:hint="default"/>
          <w:b w:val="0"/>
          <w:bCs w:val="0"/>
          <w:sz w:val="28"/>
          <w:szCs w:val="28"/>
          <w:lang w:val="en-US" w:eastAsia="zh-CN"/>
        </w:rPr>
      </w:pPr>
      <w:r>
        <w:rPr>
          <w:rFonts w:hint="eastAsia"/>
          <w:b w:val="0"/>
          <w:bCs w:val="0"/>
          <w:sz w:val="28"/>
          <w:szCs w:val="28"/>
          <w:lang w:val="en-US" w:eastAsia="zh-CN"/>
        </w:rPr>
        <w:t>包含两位老师的学费、住宿费、生活补助费；</w:t>
      </w:r>
    </w:p>
    <w:p w14:paraId="7BA14C2B">
      <w:pPr>
        <w:numPr>
          <w:ilvl w:val="0"/>
          <w:numId w:val="0"/>
        </w:numPr>
        <w:ind w:firstLine="560" w:firstLineChars="200"/>
        <w:jc w:val="both"/>
        <w:rPr>
          <w:rFonts w:hint="eastAsia" w:cstheme="minorBidi"/>
          <w:kern w:val="2"/>
          <w:sz w:val="28"/>
          <w:szCs w:val="28"/>
          <w:lang w:val="en-US" w:eastAsia="zh-CN" w:bidi="ar-SA"/>
        </w:rPr>
      </w:pPr>
      <w:r>
        <w:rPr>
          <w:rFonts w:hint="eastAsia" w:cstheme="minorBidi"/>
          <w:kern w:val="2"/>
          <w:sz w:val="28"/>
          <w:szCs w:val="28"/>
          <w:lang w:val="en-US" w:eastAsia="zh-CN" w:bidi="ar-SA"/>
        </w:rPr>
        <w:t>2、翻译费：</w:t>
      </w:r>
    </w:p>
    <w:p w14:paraId="2C641D50">
      <w:pPr>
        <w:numPr>
          <w:ilvl w:val="0"/>
          <w:numId w:val="0"/>
        </w:numPr>
        <w:ind w:firstLine="560" w:firstLineChars="200"/>
        <w:rPr>
          <w:rFonts w:hint="eastAsia" w:cstheme="minorBidi"/>
          <w:kern w:val="2"/>
          <w:sz w:val="28"/>
          <w:szCs w:val="28"/>
          <w:lang w:val="en-US" w:eastAsia="zh-CN" w:bidi="ar-SA"/>
        </w:rPr>
      </w:pPr>
      <w:r>
        <w:rPr>
          <w:rFonts w:hint="eastAsia" w:ascii="仿宋" w:hAnsi="仿宋" w:eastAsia="仿宋" w:cs="仿宋"/>
          <w:b w:val="0"/>
          <w:bCs w:val="0"/>
          <w:color w:val="000000"/>
          <w:kern w:val="2"/>
          <w:sz w:val="28"/>
          <w:szCs w:val="28"/>
          <w:lang w:val="en-US" w:eastAsia="zh-CN" w:bidi="ar-SA"/>
        </w:rPr>
        <w:t>①、</w:t>
      </w:r>
      <w:r>
        <w:rPr>
          <w:rFonts w:hint="eastAsia" w:cstheme="minorBidi"/>
          <w:kern w:val="2"/>
          <w:sz w:val="28"/>
          <w:szCs w:val="28"/>
          <w:lang w:val="en-US" w:eastAsia="zh-CN" w:bidi="ar-SA"/>
        </w:rPr>
        <w:t>两次中外合作办学材料笔译费用：</w:t>
      </w:r>
    </w:p>
    <w:tbl>
      <w:tblPr>
        <w:tblStyle w:val="62"/>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8"/>
        <w:gridCol w:w="5555"/>
      </w:tblGrid>
      <w:tr w14:paraId="3172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3878" w:type="dxa"/>
            <w:vAlign w:val="center"/>
          </w:tcPr>
          <w:p w14:paraId="50B93828">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内容</w:t>
            </w:r>
          </w:p>
        </w:tc>
        <w:tc>
          <w:tcPr>
            <w:tcW w:w="5555" w:type="dxa"/>
            <w:vAlign w:val="center"/>
          </w:tcPr>
          <w:p w14:paraId="3E47938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备注</w:t>
            </w:r>
          </w:p>
        </w:tc>
      </w:tr>
      <w:tr w14:paraId="57FC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70947C10">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中外合作办学联合管理委员会俄方成员委任书</w:t>
            </w:r>
          </w:p>
        </w:tc>
        <w:tc>
          <w:tcPr>
            <w:tcW w:w="5555" w:type="dxa"/>
            <w:vAlign w:val="center"/>
          </w:tcPr>
          <w:p w14:paraId="3343055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三份委任书（4115字符）</w:t>
            </w:r>
          </w:p>
          <w:p w14:paraId="67C6ACBB">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源语言：俄文</w:t>
            </w:r>
          </w:p>
          <w:p w14:paraId="4103E4CD">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目标语言：中文</w:t>
            </w:r>
          </w:p>
        </w:tc>
      </w:tr>
      <w:tr w14:paraId="42CD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180D2263">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俄罗斯联邦教育和科学监督局给予阿尔泰国立大学颁发的办学资质和职业教育国家资格证书</w:t>
            </w:r>
          </w:p>
        </w:tc>
        <w:tc>
          <w:tcPr>
            <w:tcW w:w="5555" w:type="dxa"/>
            <w:vAlign w:val="center"/>
          </w:tcPr>
          <w:p w14:paraId="54EF36E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两份文件（9582字符）</w:t>
            </w:r>
          </w:p>
          <w:p w14:paraId="3D4E681F">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源语言：俄文</w:t>
            </w:r>
          </w:p>
          <w:p w14:paraId="6C97081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目标语言：中文</w:t>
            </w:r>
          </w:p>
        </w:tc>
      </w:tr>
      <w:tr w14:paraId="31F2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0546EF7A">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阿尔泰国立大学毕业证书样本和后续提升证书样本</w:t>
            </w:r>
          </w:p>
        </w:tc>
        <w:tc>
          <w:tcPr>
            <w:tcW w:w="5555" w:type="dxa"/>
            <w:vAlign w:val="center"/>
          </w:tcPr>
          <w:p w14:paraId="2FFB3B6B">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两份文件（875字符）</w:t>
            </w:r>
          </w:p>
          <w:p w14:paraId="43F1596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源语言：俄文</w:t>
            </w:r>
          </w:p>
          <w:p w14:paraId="094261D7">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目标语言：中文</w:t>
            </w:r>
          </w:p>
        </w:tc>
      </w:tr>
      <w:tr w14:paraId="1177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70BFFAAB">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中俄合作办学协议书</w:t>
            </w:r>
          </w:p>
        </w:tc>
        <w:tc>
          <w:tcPr>
            <w:tcW w:w="5555" w:type="dxa"/>
            <w:vAlign w:val="center"/>
          </w:tcPr>
          <w:p w14:paraId="043C56DD">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一份文件含第二次申报修改</w:t>
            </w:r>
          </w:p>
          <w:p w14:paraId="7761FD26">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（4891+1845字符）</w:t>
            </w:r>
          </w:p>
          <w:p w14:paraId="5B29F0FE">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源语言：中文</w:t>
            </w:r>
          </w:p>
          <w:p w14:paraId="65B6CADA">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目标语言：俄文</w:t>
            </w:r>
          </w:p>
        </w:tc>
      </w:tr>
      <w:tr w14:paraId="1011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737A780A">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中俄合作办学人才培养方案</w:t>
            </w:r>
          </w:p>
        </w:tc>
        <w:tc>
          <w:tcPr>
            <w:tcW w:w="5555" w:type="dxa"/>
            <w:vAlign w:val="center"/>
          </w:tcPr>
          <w:p w14:paraId="503FFE56">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一份文件含第二次申报修改</w:t>
            </w:r>
          </w:p>
          <w:p w14:paraId="1B8A14A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（22795+9874字符）</w:t>
            </w:r>
          </w:p>
          <w:p w14:paraId="4BA8538C">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源语言：中文</w:t>
            </w:r>
          </w:p>
          <w:p w14:paraId="55F0DA40">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目标语言：俄文</w:t>
            </w:r>
          </w:p>
        </w:tc>
      </w:tr>
      <w:tr w14:paraId="457D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8" w:type="dxa"/>
            <w:vAlign w:val="center"/>
          </w:tcPr>
          <w:p w14:paraId="4D79AC18">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专业课课程标准</w:t>
            </w:r>
          </w:p>
        </w:tc>
        <w:tc>
          <w:tcPr>
            <w:tcW w:w="5555" w:type="dxa"/>
            <w:vAlign w:val="center"/>
          </w:tcPr>
          <w:p w14:paraId="68C71CAD">
            <w:pPr>
              <w:spacing w:line="36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信息保护</w:t>
            </w:r>
            <w:r>
              <w:rPr>
                <w:rFonts w:hint="eastAsia" w:ascii="仿宋" w:hAnsi="仿宋" w:eastAsia="仿宋" w:cs="仿宋"/>
                <w:sz w:val="24"/>
                <w:szCs w:val="24"/>
                <w:vertAlign w:val="baseline"/>
                <w:lang w:val="en-US" w:eastAsia="zh-CN"/>
              </w:rPr>
              <w:t>》12309字符</w:t>
            </w:r>
          </w:p>
          <w:p w14:paraId="74732FF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网络和电信</w:t>
            </w:r>
            <w:r>
              <w:rPr>
                <w:rFonts w:hint="eastAsia" w:ascii="仿宋" w:hAnsi="仿宋" w:eastAsia="仿宋" w:cs="仿宋"/>
                <w:sz w:val="24"/>
                <w:szCs w:val="24"/>
                <w:vertAlign w:val="baseline"/>
                <w:lang w:val="en-US" w:eastAsia="zh-CN"/>
              </w:rPr>
              <w:t>》13065字符</w:t>
            </w:r>
          </w:p>
          <w:p w14:paraId="20E9214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并行和分布式计算</w:t>
            </w:r>
            <w:r>
              <w:rPr>
                <w:rFonts w:hint="eastAsia" w:ascii="仿宋" w:hAnsi="仿宋" w:eastAsia="仿宋" w:cs="仿宋"/>
                <w:sz w:val="24"/>
                <w:szCs w:val="24"/>
                <w:vertAlign w:val="baseline"/>
                <w:lang w:val="en-US" w:eastAsia="zh-CN"/>
              </w:rPr>
              <w:t>》15008字符</w:t>
            </w:r>
          </w:p>
          <w:p w14:paraId="717E773C">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信息学与计算机科学</w:t>
            </w:r>
            <w:r>
              <w:rPr>
                <w:rFonts w:hint="eastAsia" w:ascii="仿宋" w:hAnsi="仿宋" w:eastAsia="仿宋" w:cs="仿宋"/>
                <w:sz w:val="24"/>
                <w:szCs w:val="24"/>
                <w:vertAlign w:val="baseline"/>
                <w:lang w:val="en-US" w:eastAsia="zh-CN"/>
              </w:rPr>
              <w:t>》9463字符</w:t>
            </w:r>
          </w:p>
          <w:p w14:paraId="5C0F937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机器学习和大数据处理任务设计解决方案</w:t>
            </w:r>
            <w:r>
              <w:rPr>
                <w:rFonts w:hint="eastAsia" w:ascii="仿宋" w:hAnsi="仿宋" w:eastAsia="仿宋" w:cs="仿宋"/>
                <w:sz w:val="24"/>
                <w:szCs w:val="24"/>
                <w:vertAlign w:val="baseline"/>
                <w:lang w:val="en-US" w:eastAsia="zh-CN"/>
              </w:rPr>
              <w:t>》9010字符</w:t>
            </w:r>
          </w:p>
          <w:p w14:paraId="760B3D20">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大数据处理</w:t>
            </w:r>
            <w:r>
              <w:rPr>
                <w:rFonts w:hint="eastAsia" w:ascii="仿宋" w:hAnsi="仿宋" w:eastAsia="仿宋" w:cs="仿宋"/>
                <w:sz w:val="24"/>
                <w:szCs w:val="24"/>
                <w:vertAlign w:val="baseline"/>
                <w:lang w:val="en-US" w:eastAsia="zh-CN"/>
              </w:rPr>
              <w:t>》9116字符</w:t>
            </w:r>
          </w:p>
          <w:p w14:paraId="73D8CAA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hint="eastAsia" w:ascii="Times New Roman" w:hAnsi="Times New Roman" w:eastAsia="仿宋" w:cs="Times New Roman"/>
                <w:color w:val="000000"/>
                <w:sz w:val="24"/>
              </w:rPr>
              <w:t>JAVA</w:t>
            </w:r>
            <w:r>
              <w:rPr>
                <w:rFonts w:ascii="Times New Roman" w:hAnsi="Times New Roman" w:eastAsia="仿宋" w:cs="Times New Roman"/>
                <w:color w:val="000000"/>
                <w:sz w:val="24"/>
              </w:rPr>
              <w:t>编程</w:t>
            </w:r>
            <w:r>
              <w:rPr>
                <w:rFonts w:hint="eastAsia" w:ascii="仿宋" w:hAnsi="仿宋" w:eastAsia="仿宋" w:cs="仿宋"/>
                <w:sz w:val="24"/>
                <w:szCs w:val="24"/>
                <w:vertAlign w:val="baseline"/>
                <w:lang w:val="en-US" w:eastAsia="zh-CN"/>
              </w:rPr>
              <w:t>》7853字符</w:t>
            </w:r>
          </w:p>
          <w:p w14:paraId="15DD752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机器学习</w:t>
            </w:r>
            <w:r>
              <w:rPr>
                <w:rFonts w:hint="eastAsia" w:ascii="仿宋" w:hAnsi="仿宋" w:eastAsia="仿宋" w:cs="仿宋"/>
                <w:sz w:val="24"/>
                <w:szCs w:val="24"/>
                <w:vertAlign w:val="baseline"/>
                <w:lang w:val="en-US" w:eastAsia="zh-CN"/>
              </w:rPr>
              <w:t>》7984字符</w:t>
            </w:r>
          </w:p>
          <w:p w14:paraId="26101553">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数据分析技术</w:t>
            </w:r>
            <w:r>
              <w:rPr>
                <w:rFonts w:hint="eastAsia" w:ascii="仿宋" w:hAnsi="仿宋" w:eastAsia="仿宋" w:cs="仿宋"/>
                <w:sz w:val="24"/>
                <w:szCs w:val="24"/>
                <w:vertAlign w:val="baseline"/>
                <w:lang w:val="en-US" w:eastAsia="zh-CN"/>
              </w:rPr>
              <w:t>》7851字符</w:t>
            </w:r>
          </w:p>
          <w:p w14:paraId="06FD597D">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数据分析和系统分析</w:t>
            </w:r>
            <w:r>
              <w:rPr>
                <w:rFonts w:hint="eastAsia" w:ascii="仿宋" w:hAnsi="仿宋" w:eastAsia="仿宋" w:cs="仿宋"/>
                <w:sz w:val="24"/>
                <w:szCs w:val="24"/>
                <w:vertAlign w:val="baseline"/>
                <w:lang w:val="en-US" w:eastAsia="zh-CN"/>
              </w:rPr>
              <w:t>》9534字符</w:t>
            </w:r>
          </w:p>
          <w:p w14:paraId="141EE10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公钥加密和散列算法</w:t>
            </w:r>
            <w:r>
              <w:rPr>
                <w:rFonts w:hint="eastAsia" w:ascii="仿宋" w:hAnsi="仿宋" w:eastAsia="仿宋" w:cs="仿宋"/>
                <w:sz w:val="24"/>
                <w:szCs w:val="24"/>
                <w:vertAlign w:val="baseline"/>
                <w:lang w:val="en-US" w:eastAsia="zh-CN"/>
              </w:rPr>
              <w:t>》8682字符</w:t>
            </w:r>
          </w:p>
          <w:p w14:paraId="58039FA7">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r>
              <w:rPr>
                <w:rFonts w:ascii="Times New Roman" w:hAnsi="Times New Roman" w:eastAsia="仿宋" w:cs="Times New Roman"/>
                <w:color w:val="000000"/>
                <w:sz w:val="24"/>
              </w:rPr>
              <w:t>云技术</w:t>
            </w:r>
            <w:r>
              <w:rPr>
                <w:rFonts w:hint="eastAsia" w:ascii="仿宋" w:hAnsi="仿宋" w:eastAsia="仿宋" w:cs="仿宋"/>
                <w:sz w:val="24"/>
                <w:szCs w:val="24"/>
                <w:vertAlign w:val="baseline"/>
                <w:lang w:val="en-US" w:eastAsia="zh-CN"/>
              </w:rPr>
              <w:t>》8647字符</w:t>
            </w:r>
          </w:p>
          <w:p w14:paraId="1B057881">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共计：118522字符</w:t>
            </w:r>
          </w:p>
          <w:p w14:paraId="655EE1B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源语言：中文</w:t>
            </w:r>
          </w:p>
          <w:p w14:paraId="56491DCF">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目标语言：俄文</w:t>
            </w:r>
          </w:p>
        </w:tc>
      </w:tr>
    </w:tbl>
    <w:p w14:paraId="7FEFCA7D">
      <w:pPr>
        <w:numPr>
          <w:ilvl w:val="0"/>
          <w:numId w:val="0"/>
        </w:numPr>
        <w:ind w:firstLine="560" w:firstLineChars="200"/>
        <w:rPr>
          <w:rFonts w:hint="eastAsia" w:ascii="宋体" w:hAnsi="宋体" w:eastAsia="宋体"/>
          <w:bCs/>
          <w:sz w:val="24"/>
          <w:szCs w:val="24"/>
          <w:lang w:val="en-US" w:eastAsia="zh-CN"/>
        </w:rPr>
      </w:pPr>
      <w:r>
        <w:rPr>
          <w:rFonts w:hint="eastAsia" w:asciiTheme="majorEastAsia" w:hAnsiTheme="majorEastAsia" w:eastAsiaTheme="majorEastAsia" w:cstheme="majorEastAsia"/>
          <w:b w:val="0"/>
          <w:bCs w:val="0"/>
          <w:color w:val="000000"/>
          <w:kern w:val="2"/>
          <w:sz w:val="28"/>
          <w:szCs w:val="28"/>
          <w:lang w:val="en-US" w:eastAsia="zh-CN" w:bidi="ar-SA"/>
        </w:rPr>
        <w:t>②、</w:t>
      </w:r>
      <w:r>
        <w:rPr>
          <w:rFonts w:hint="eastAsia" w:asciiTheme="majorEastAsia" w:hAnsiTheme="majorEastAsia" w:eastAsiaTheme="majorEastAsia" w:cstheme="majorEastAsia"/>
          <w:kern w:val="2"/>
          <w:sz w:val="28"/>
          <w:szCs w:val="28"/>
          <w:lang w:val="en-US" w:eastAsia="zh-CN" w:bidi="ar-SA"/>
        </w:rPr>
        <w:t>阿尔泰大学来访同传翻译费用（4天）</w:t>
      </w:r>
    </w:p>
    <w:p w14:paraId="7E7D95F2">
      <w:pPr>
        <w:pStyle w:val="4"/>
        <w:pageBreakBefore w:val="0"/>
        <w:widowControl w:val="0"/>
        <w:numPr>
          <w:ilvl w:val="0"/>
          <w:numId w:val="6"/>
        </w:numPr>
        <w:shd w:val="clear" w:color="auto" w:fill="FFFFFF"/>
        <w:kinsoku/>
        <w:overflowPunct/>
        <w:topLinePunct w:val="0"/>
        <w:autoSpaceDE/>
        <w:autoSpaceDN/>
        <w:bidi w:val="0"/>
        <w:adjustRightInd/>
        <w:snapToGrid/>
        <w:spacing w:line="360" w:lineRule="auto"/>
        <w:ind w:left="0" w:leftChars="0" w:firstLine="551" w:firstLineChars="196"/>
        <w:textAlignment w:val="auto"/>
        <w:rPr>
          <w:rFonts w:hint="eastAsia" w:asciiTheme="majorEastAsia" w:hAnsiTheme="majorEastAsia" w:eastAsiaTheme="majorEastAsia" w:cstheme="majorEastAsia"/>
          <w:bCs/>
          <w:sz w:val="28"/>
          <w:szCs w:val="28"/>
        </w:rPr>
      </w:pPr>
      <w:r>
        <w:rPr>
          <w:rFonts w:hint="eastAsia" w:asciiTheme="majorEastAsia" w:hAnsiTheme="majorEastAsia" w:eastAsiaTheme="majorEastAsia" w:cstheme="majorEastAsia"/>
          <w:bCs/>
          <w:sz w:val="28"/>
          <w:szCs w:val="28"/>
        </w:rPr>
        <w:t>服务需求</w:t>
      </w:r>
    </w:p>
    <w:p w14:paraId="4C0A10B2">
      <w:pPr>
        <w:pStyle w:val="4"/>
        <w:pageBreakBefore w:val="0"/>
        <w:widowControl w:val="0"/>
        <w:numPr>
          <w:ilvl w:val="0"/>
          <w:numId w:val="0"/>
        </w:numPr>
        <w:shd w:val="clear" w:color="auto" w:fill="FFFFFF"/>
        <w:kinsoku/>
        <w:overflowPunct/>
        <w:topLinePunct w:val="0"/>
        <w:autoSpaceDE/>
        <w:autoSpaceDN/>
        <w:bidi w:val="0"/>
        <w:adjustRightInd/>
        <w:snapToGrid/>
        <w:spacing w:line="360" w:lineRule="auto"/>
        <w:ind w:firstLine="560" w:firstLineChars="200"/>
        <w:textAlignment w:val="auto"/>
        <w:rPr>
          <w:rFonts w:hint="eastAsia" w:asciiTheme="majorEastAsia" w:hAnsiTheme="majorEastAsia" w:eastAsiaTheme="majorEastAsia" w:cstheme="majorEastAsia"/>
          <w:b w:val="0"/>
          <w:bCs w:val="0"/>
          <w:sz w:val="28"/>
          <w:szCs w:val="28"/>
          <w:lang w:eastAsia="zh-CN"/>
        </w:rPr>
      </w:pPr>
      <w:r>
        <w:rPr>
          <w:rFonts w:hint="eastAsia" w:asciiTheme="majorEastAsia" w:hAnsiTheme="majorEastAsia" w:eastAsiaTheme="majorEastAsia" w:cstheme="majorEastAsia"/>
          <w:b w:val="0"/>
          <w:bCs w:val="0"/>
          <w:sz w:val="28"/>
          <w:szCs w:val="28"/>
          <w:lang w:val="en-US" w:eastAsia="zh-CN"/>
        </w:rPr>
        <w:t>投标时需按服务需求提供详细的服务方案，服务方案要求科学合理、内容全面、配置专业的服务团队。</w:t>
      </w:r>
    </w:p>
    <w:tbl>
      <w:tblPr>
        <w:tblStyle w:val="61"/>
        <w:tblW w:w="48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96"/>
        <w:gridCol w:w="1886"/>
        <w:gridCol w:w="5686"/>
      </w:tblGrid>
      <w:tr w14:paraId="044C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91" w:type="pct"/>
            <w:vAlign w:val="center"/>
          </w:tcPr>
          <w:p w14:paraId="30CD7203">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序号</w:t>
            </w:r>
          </w:p>
        </w:tc>
        <w:tc>
          <w:tcPr>
            <w:tcW w:w="1477" w:type="pct"/>
            <w:gridSpan w:val="2"/>
            <w:vAlign w:val="center"/>
          </w:tcPr>
          <w:p w14:paraId="58E15DE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服务内容</w:t>
            </w:r>
          </w:p>
        </w:tc>
        <w:tc>
          <w:tcPr>
            <w:tcW w:w="3131" w:type="pct"/>
            <w:vAlign w:val="center"/>
          </w:tcPr>
          <w:p w14:paraId="6FB23562">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服务要求</w:t>
            </w:r>
          </w:p>
        </w:tc>
      </w:tr>
      <w:tr w14:paraId="0502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391" w:type="pct"/>
            <w:vAlign w:val="center"/>
          </w:tcPr>
          <w:p w14:paraId="3E87CA2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1</w:t>
            </w:r>
          </w:p>
        </w:tc>
        <w:tc>
          <w:tcPr>
            <w:tcW w:w="438" w:type="pct"/>
            <w:vMerge w:val="restart"/>
            <w:vAlign w:val="center"/>
          </w:tcPr>
          <w:p w14:paraId="540B7A3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教师出访</w:t>
            </w:r>
          </w:p>
        </w:tc>
        <w:tc>
          <w:tcPr>
            <w:tcW w:w="1038" w:type="pct"/>
            <w:vAlign w:val="center"/>
          </w:tcPr>
          <w:p w14:paraId="5054139C">
            <w:pPr>
              <w:pStyle w:val="82"/>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方案设计</w:t>
            </w:r>
          </w:p>
        </w:tc>
        <w:tc>
          <w:tcPr>
            <w:tcW w:w="3131" w:type="pct"/>
            <w:vAlign w:val="center"/>
          </w:tcPr>
          <w:p w14:paraId="794C9E3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协助两校商定为期30天的交流学习的具体方案，按照相关政策和规定合理安排交流期间的行程和住宿。</w:t>
            </w:r>
          </w:p>
        </w:tc>
      </w:tr>
      <w:tr w14:paraId="5F0D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391" w:type="pct"/>
            <w:vAlign w:val="center"/>
          </w:tcPr>
          <w:p w14:paraId="625EF447">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2</w:t>
            </w:r>
          </w:p>
        </w:tc>
        <w:tc>
          <w:tcPr>
            <w:tcW w:w="438" w:type="pct"/>
            <w:vMerge w:val="continue"/>
            <w:vAlign w:val="center"/>
          </w:tcPr>
          <w:p w14:paraId="2FCF4504">
            <w:pPr>
              <w:jc w:val="center"/>
              <w:rPr>
                <w:rFonts w:hint="eastAsia" w:asciiTheme="minorEastAsia" w:hAnsiTheme="minorEastAsia" w:eastAsiaTheme="minorEastAsia" w:cstheme="minorEastAsia"/>
                <w:kern w:val="2"/>
                <w:sz w:val="21"/>
                <w:lang w:val="en-US" w:eastAsia="zh-CN" w:bidi="ar-SA"/>
              </w:rPr>
            </w:pPr>
          </w:p>
        </w:tc>
        <w:tc>
          <w:tcPr>
            <w:tcW w:w="1038" w:type="pct"/>
            <w:vAlign w:val="center"/>
          </w:tcPr>
          <w:p w14:paraId="7D60A713">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协助办理</w:t>
            </w:r>
          </w:p>
          <w:p w14:paraId="75A094E8">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出访手续</w:t>
            </w:r>
          </w:p>
        </w:tc>
        <w:tc>
          <w:tcPr>
            <w:tcW w:w="3131" w:type="pct"/>
            <w:vAlign w:val="center"/>
          </w:tcPr>
          <w:p w14:paraId="5C372DF0">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介绍前往国家考察政策和签证政策，指导协助校方进行申请因公护照及签证准备，协助校方办理签证或入境批准文件。</w:t>
            </w:r>
          </w:p>
        </w:tc>
      </w:tr>
      <w:tr w14:paraId="796F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391" w:type="pct"/>
            <w:vAlign w:val="center"/>
          </w:tcPr>
          <w:p w14:paraId="4E511A5C">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3</w:t>
            </w:r>
          </w:p>
        </w:tc>
        <w:tc>
          <w:tcPr>
            <w:tcW w:w="438" w:type="pct"/>
            <w:vMerge w:val="continue"/>
            <w:vAlign w:val="center"/>
          </w:tcPr>
          <w:p w14:paraId="0E0B5130">
            <w:pPr>
              <w:jc w:val="center"/>
              <w:rPr>
                <w:rFonts w:hint="eastAsia" w:asciiTheme="minorEastAsia" w:hAnsiTheme="minorEastAsia" w:eastAsiaTheme="minorEastAsia" w:cstheme="minorEastAsia"/>
                <w:kern w:val="2"/>
                <w:sz w:val="21"/>
                <w:lang w:val="en-US" w:eastAsia="zh-CN" w:bidi="ar-SA"/>
              </w:rPr>
            </w:pPr>
          </w:p>
        </w:tc>
        <w:tc>
          <w:tcPr>
            <w:tcW w:w="1038" w:type="pct"/>
            <w:vAlign w:val="center"/>
          </w:tcPr>
          <w:p w14:paraId="3F520951">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行前教育</w:t>
            </w:r>
          </w:p>
        </w:tc>
        <w:tc>
          <w:tcPr>
            <w:tcW w:w="3131" w:type="pct"/>
            <w:vAlign w:val="center"/>
          </w:tcPr>
          <w:p w14:paraId="1300D620">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协助校方做好出国前关于国家安全、人身安全、学习纪律、注意事项等行前教育。</w:t>
            </w:r>
          </w:p>
        </w:tc>
      </w:tr>
      <w:tr w14:paraId="08E5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391" w:type="pct"/>
            <w:vAlign w:val="center"/>
          </w:tcPr>
          <w:p w14:paraId="0C91AE3D">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4</w:t>
            </w:r>
          </w:p>
        </w:tc>
        <w:tc>
          <w:tcPr>
            <w:tcW w:w="438" w:type="pct"/>
            <w:vMerge w:val="restart"/>
            <w:vAlign w:val="center"/>
          </w:tcPr>
          <w:p w14:paraId="2915F180">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翻译服务</w:t>
            </w:r>
          </w:p>
        </w:tc>
        <w:tc>
          <w:tcPr>
            <w:tcW w:w="1038" w:type="pct"/>
            <w:vAlign w:val="center"/>
          </w:tcPr>
          <w:p w14:paraId="357A7CCF">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笔译</w:t>
            </w:r>
          </w:p>
        </w:tc>
        <w:tc>
          <w:tcPr>
            <w:tcW w:w="3131" w:type="pct"/>
            <w:vAlign w:val="center"/>
          </w:tcPr>
          <w:p w14:paraId="6EF9ACF8">
            <w:pPr>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进行中外合作办学项目申报材料中俄文之间的翻译，保证翻译质量。</w:t>
            </w:r>
          </w:p>
        </w:tc>
      </w:tr>
      <w:tr w14:paraId="00D3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391" w:type="pct"/>
            <w:vAlign w:val="center"/>
          </w:tcPr>
          <w:p w14:paraId="258AF6FE">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5</w:t>
            </w:r>
          </w:p>
        </w:tc>
        <w:tc>
          <w:tcPr>
            <w:tcW w:w="438" w:type="pct"/>
            <w:vMerge w:val="continue"/>
            <w:vAlign w:val="center"/>
          </w:tcPr>
          <w:p w14:paraId="5EE140BB">
            <w:pPr>
              <w:jc w:val="center"/>
              <w:rPr>
                <w:rFonts w:hint="eastAsia" w:asciiTheme="minorEastAsia" w:hAnsiTheme="minorEastAsia" w:eastAsiaTheme="minorEastAsia" w:cstheme="minorEastAsia"/>
                <w:kern w:val="2"/>
                <w:sz w:val="21"/>
                <w:lang w:val="en-US" w:eastAsia="zh-CN" w:bidi="ar-SA"/>
              </w:rPr>
            </w:pPr>
          </w:p>
        </w:tc>
        <w:tc>
          <w:tcPr>
            <w:tcW w:w="1038" w:type="pct"/>
            <w:vAlign w:val="center"/>
          </w:tcPr>
          <w:p w14:paraId="657E9BA1">
            <w:pPr>
              <w:jc w:val="center"/>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口译</w:t>
            </w:r>
          </w:p>
        </w:tc>
        <w:tc>
          <w:tcPr>
            <w:tcW w:w="3131" w:type="pct"/>
            <w:vAlign w:val="center"/>
          </w:tcPr>
          <w:p w14:paraId="3E685E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kern w:val="2"/>
                <w:sz w:val="21"/>
                <w:lang w:val="en-US" w:eastAsia="zh-CN" w:bidi="ar-SA"/>
              </w:rPr>
            </w:pPr>
            <w:r>
              <w:rPr>
                <w:rFonts w:hint="eastAsia" w:asciiTheme="minorEastAsia" w:hAnsiTheme="minorEastAsia" w:eastAsiaTheme="minorEastAsia" w:cstheme="minorEastAsia"/>
                <w:kern w:val="2"/>
                <w:sz w:val="21"/>
                <w:lang w:val="en-US" w:eastAsia="zh-CN" w:bidi="ar-SA"/>
              </w:rPr>
              <w:t>进行外方高校来访团的全程同传翻译，确保将源语言译成目标语言，做到表达清楚、尊重习俗。</w:t>
            </w:r>
          </w:p>
        </w:tc>
      </w:tr>
    </w:tbl>
    <w:p w14:paraId="748FB8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28300"/>
      <w:bookmarkStart w:id="68" w:name="_Toc27586"/>
      <w:bookmarkStart w:id="69" w:name="_Toc3977"/>
      <w:bookmarkStart w:id="70" w:name="_Toc431"/>
      <w:bookmarkStart w:id="71" w:name="_Toc7241"/>
      <w:bookmarkStart w:id="72" w:name="_Toc10569"/>
      <w:bookmarkStart w:id="73" w:name="_Toc54941340"/>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8"/>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6F555452">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66413BFD">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4"/>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1916B4E">
      <w:pPr>
        <w:pStyle w:val="82"/>
        <w:ind w:left="0" w:leftChars="0" w:firstLine="0" w:firstLineChars="0"/>
        <w:rPr>
          <w:rFonts w:hint="eastAsia"/>
        </w:rPr>
      </w:pPr>
    </w:p>
    <w:p w14:paraId="14D65F1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4" w:name="_Toc3029"/>
      <w:bookmarkStart w:id="75" w:name="_Toc2405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77" w:name="_Toc27126"/>
      <w:bookmarkStart w:id="78" w:name="_Toc24300"/>
      <w:bookmarkStart w:id="79" w:name="_Toc21295"/>
      <w:bookmarkStart w:id="80" w:name="_Toc23292"/>
      <w:bookmarkStart w:id="81" w:name="_Toc21631"/>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3" w:name="_Toc10340"/>
      <w:bookmarkStart w:id="84" w:name="_Toc22618"/>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6" w:name="_Toc2846"/>
      <w:bookmarkStart w:id="87" w:name="_Toc19304"/>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89" w:name="_Toc19554"/>
      <w:bookmarkStart w:id="90" w:name="_Toc27250"/>
      <w:bookmarkStart w:id="91" w:name="_Toc21423"/>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2" w:name="_Toc15583"/>
      <w:bookmarkStart w:id="93" w:name="_Toc16021"/>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4152B0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w:t>
      </w:r>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向</w:t>
      </w:r>
      <w:r>
        <w:rPr>
          <w:rFonts w:hint="eastAsia" w:asciiTheme="minorEastAsia" w:hAnsiTheme="minorEastAsia" w:eastAsiaTheme="minorEastAsia"/>
          <w:color w:val="auto"/>
          <w:sz w:val="24"/>
          <w:highlight w:val="none"/>
          <w:u w:val="single"/>
          <w:lang w:val="en-US" w:eastAsia="zh-CN"/>
        </w:rPr>
        <w:t xml:space="preserve"> 安庆市 </w:t>
      </w:r>
      <w:r>
        <w:rPr>
          <w:rFonts w:hint="eastAsia" w:asciiTheme="minorEastAsia" w:hAnsiTheme="minorEastAsia" w:eastAsiaTheme="minorEastAsia"/>
          <w:color w:val="auto"/>
          <w:sz w:val="24"/>
          <w:highlight w:val="none"/>
        </w:rPr>
        <w:t>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5" w:name="_Toc7245"/>
      <w:bookmarkStart w:id="96" w:name="_Toc11173"/>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15451E22">
      <w:pPr>
        <w:widowControl/>
        <w:spacing w:line="560" w:lineRule="exact"/>
        <w:jc w:val="left"/>
        <w:rPr>
          <w:rFonts w:hint="eastAsia" w:asciiTheme="minorEastAsia" w:hAnsiTheme="minorEastAsia" w:eastAsiaTheme="minorEastAsia"/>
          <w:bCs/>
          <w:color w:val="auto"/>
          <w:sz w:val="24"/>
          <w:highlight w:val="none"/>
          <w:lang w:val="en-US" w:eastAsia="zh-CN"/>
        </w:rPr>
      </w:pPr>
    </w:p>
    <w:p w14:paraId="320FDF8E">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4022CE1E">
      <w:pPr>
        <w:widowControl/>
        <w:spacing w:line="560" w:lineRule="exact"/>
        <w:jc w:val="left"/>
        <w:rPr>
          <w:rFonts w:hint="default" w:asciiTheme="minorEastAsia" w:hAnsiTheme="minorEastAsia" w:eastAsiaTheme="minorEastAsia"/>
          <w:bCs/>
          <w:color w:val="auto"/>
          <w:sz w:val="24"/>
          <w:highlight w:val="none"/>
          <w:lang w:val="en-US" w:eastAsia="zh-CN"/>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6799D1E">
      <w:pPr>
        <w:widowControl/>
        <w:spacing w:line="560" w:lineRule="exact"/>
        <w:jc w:val="left"/>
        <w:rPr>
          <w:rFonts w:asciiTheme="minorEastAsia" w:hAnsiTheme="minorEastAsia" w:eastAsiaTheme="minorEastAsia"/>
          <w:bCs/>
          <w:color w:val="auto"/>
          <w:sz w:val="24"/>
          <w:highlight w:val="none"/>
        </w:rPr>
      </w:pPr>
    </w:p>
    <w:p w14:paraId="0B14584D">
      <w:pPr>
        <w:pStyle w:val="27"/>
        <w:rPr>
          <w:rFonts w:asciiTheme="minorEastAsia" w:hAnsiTheme="minorEastAsia" w:eastAsiaTheme="minorEastAsia"/>
          <w:bCs/>
          <w:color w:val="auto"/>
          <w:sz w:val="24"/>
          <w:highlight w:val="none"/>
        </w:rPr>
      </w:pPr>
    </w:p>
    <w:p w14:paraId="5E00F585">
      <w:pPr>
        <w:pStyle w:val="27"/>
        <w:rPr>
          <w:rFonts w:asciiTheme="minorEastAsia" w:hAnsiTheme="minorEastAsia" w:eastAsiaTheme="minorEastAsia"/>
          <w:bCs/>
          <w:color w:val="auto"/>
          <w:sz w:val="24"/>
          <w:highlight w:val="none"/>
        </w:rPr>
      </w:pPr>
    </w:p>
    <w:p w14:paraId="1A5CEB6A">
      <w:pPr>
        <w:pStyle w:val="27"/>
        <w:rPr>
          <w:rFonts w:asciiTheme="minorEastAsia" w:hAnsiTheme="minorEastAsia" w:eastAsiaTheme="minorEastAsia"/>
          <w:bCs/>
          <w:color w:val="auto"/>
          <w:sz w:val="24"/>
          <w:highlight w:val="none"/>
        </w:rPr>
      </w:pPr>
    </w:p>
    <w:p w14:paraId="0C7C94F3">
      <w:pPr>
        <w:pStyle w:val="27"/>
        <w:rPr>
          <w:rFonts w:asciiTheme="minorEastAsia" w:hAnsiTheme="minorEastAsia" w:eastAsiaTheme="minorEastAsia"/>
          <w:bCs/>
          <w:color w:val="auto"/>
          <w:sz w:val="24"/>
          <w:highlight w:val="none"/>
        </w:rPr>
      </w:pPr>
    </w:p>
    <w:bookmarkEnd w:id="72"/>
    <w:bookmarkEnd w:id="73"/>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54941341"/>
      <w:bookmarkStart w:id="99" w:name="_Toc439316880"/>
      <w:bookmarkStart w:id="100" w:name="_Toc1812"/>
      <w:bookmarkStart w:id="101" w:name="_Toc898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82"/>
        <w:rPr>
          <w:rFonts w:ascii="宋体" w:hAnsi="宋体" w:cs="宋体"/>
          <w:color w:val="auto"/>
          <w:sz w:val="24"/>
          <w:highlight w:val="none"/>
        </w:rPr>
      </w:pPr>
    </w:p>
    <w:p w14:paraId="00B24CA3">
      <w:pPr>
        <w:pStyle w:val="82"/>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476584434"/>
      <w:bookmarkStart w:id="107" w:name="_Toc54941343"/>
      <w:bookmarkStart w:id="108" w:name="_Toc28034"/>
      <w:bookmarkStart w:id="109" w:name="_Toc28153"/>
      <w:bookmarkStart w:id="110" w:name="_Toc32647"/>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C7F6643">
            <w:pPr>
              <w:spacing w:line="360" w:lineRule="auto"/>
              <w:jc w:val="center"/>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报价</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w:t>
            </w:r>
            <w:r>
              <w:rPr>
                <w:rFonts w:hint="eastAsia" w:ascii="宋体" w:hAnsi="宋体" w:cs="宋体"/>
                <w:bCs/>
                <w:color w:val="auto"/>
                <w:sz w:val="24"/>
                <w:szCs w:val="24"/>
                <w:highlight w:val="none"/>
                <w:lang w:val="en-US" w:eastAsia="zh-CN"/>
              </w:rPr>
              <w:t>大</w:t>
            </w:r>
            <w:r>
              <w:rPr>
                <w:rFonts w:hint="eastAsia" w:ascii="宋体" w:hAnsi="宋体" w:eastAsia="宋体" w:cs="宋体"/>
                <w:bCs/>
                <w:color w:val="auto"/>
                <w:sz w:val="24"/>
                <w:szCs w:val="24"/>
                <w:highlight w:val="none"/>
              </w:rPr>
              <w:t>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FC7B28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03B7DC02">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25"/>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1"/>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4"/>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4"/>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15038"/>
      <w:bookmarkStart w:id="114"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7A205A2D">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1"/>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最后报价</w:t>
            </w:r>
          </w:p>
        </w:tc>
        <w:tc>
          <w:tcPr>
            <w:tcW w:w="6743" w:type="dxa"/>
            <w:vAlign w:val="center"/>
          </w:tcPr>
          <w:p w14:paraId="79777F7B">
            <w:pPr>
              <w:wordWrap w:val="0"/>
              <w:spacing w:line="400" w:lineRule="exact"/>
              <w:rPr>
                <w:rFonts w:hint="eastAsia" w:hAnsi="宋体"/>
                <w:color w:val="auto"/>
                <w:sz w:val="24"/>
                <w:highlight w:val="none"/>
              </w:rPr>
            </w:pPr>
          </w:p>
          <w:p w14:paraId="1B9C21C6">
            <w:pPr>
              <w:wordWrap w:val="0"/>
              <w:spacing w:line="400" w:lineRule="exact"/>
              <w:rPr>
                <w:rFonts w:hint="eastAsia"/>
                <w:color w:val="auto"/>
                <w:sz w:val="21"/>
                <w:szCs w:val="21"/>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4E16F1C6">
            <w:pPr>
              <w:spacing w:line="400" w:lineRule="exact"/>
              <w:rPr>
                <w:rFonts w:hint="eastAsia"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ACB5761">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920"/>
      <w:bookmarkStart w:id="116"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A5BDD0">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078AD73">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2272"/>
      <w:bookmarkStart w:id="122" w:name="_Toc26186"/>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983D41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32741"/>
      <w:bookmarkStart w:id="124" w:name="_Toc2700"/>
      <w:bookmarkStart w:id="125" w:name="_Toc8573"/>
      <w:bookmarkStart w:id="12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CFFA2695"/>
    <w:multiLevelType w:val="singleLevel"/>
    <w:tmpl w:val="CFFA2695"/>
    <w:lvl w:ilvl="0" w:tentative="0">
      <w:start w:val="1"/>
      <w:numFmt w:val="decimal"/>
      <w:suff w:val="nothing"/>
      <w:lvlText w:val="%1、"/>
      <w:lvlJc w:val="left"/>
    </w:lvl>
  </w:abstractNum>
  <w:abstractNum w:abstractNumId="3">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5">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00000018"/>
    <w:multiLevelType w:val="singleLevel"/>
    <w:tmpl w:val="00000018"/>
    <w:lvl w:ilvl="0" w:tentative="0">
      <w:start w:val="4"/>
      <w:numFmt w:val="chineseCounting"/>
      <w:suff w:val="nothing"/>
      <w:lvlText w:val="%1、"/>
      <w:lvlJc w:val="left"/>
      <w:rPr>
        <w:rFonts w:cs="Times New Roman"/>
      </w:rPr>
    </w:lvl>
  </w:abstractNum>
  <w:abstractNum w:abstractNumId="7">
    <w:nsid w:val="0FCE064D"/>
    <w:multiLevelType w:val="singleLevel"/>
    <w:tmpl w:val="0FCE064D"/>
    <w:lvl w:ilvl="0" w:tentative="0">
      <w:start w:val="1"/>
      <w:numFmt w:val="decimal"/>
      <w:suff w:val="nothing"/>
      <w:lvlText w:val="%1、"/>
      <w:lvlJc w:val="left"/>
    </w:lvl>
  </w:abstractNum>
  <w:abstractNum w:abstractNumId="8">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3"/>
  </w:num>
  <w:num w:numId="2">
    <w:abstractNumId w:val="5"/>
  </w:num>
  <w:num w:numId="3">
    <w:abstractNumId w:val="8"/>
  </w:num>
  <w:num w:numId="4">
    <w:abstractNumId w:val="4"/>
  </w:num>
  <w:num w:numId="5">
    <w:abstractNumId w:val="1"/>
  </w:num>
  <w:num w:numId="6">
    <w:abstractNumId w:val="0"/>
  </w:num>
  <w:num w:numId="7">
    <w:abstractNumId w:val="7"/>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B5010FB"/>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853E6A"/>
    <w:rsid w:val="1C9A2A0F"/>
    <w:rsid w:val="1CB17D58"/>
    <w:rsid w:val="1D3A56BE"/>
    <w:rsid w:val="1D434E54"/>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2718FD"/>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9C815AD"/>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1314AB"/>
    <w:rsid w:val="4C356EDA"/>
    <w:rsid w:val="4C7A3BF2"/>
    <w:rsid w:val="4CE76CFB"/>
    <w:rsid w:val="4DA27269"/>
    <w:rsid w:val="4E397A0D"/>
    <w:rsid w:val="4E3B47E2"/>
    <w:rsid w:val="4E4166BF"/>
    <w:rsid w:val="4EA56E6D"/>
    <w:rsid w:val="4F0F2539"/>
    <w:rsid w:val="4F45079D"/>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343467"/>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B56421"/>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664024"/>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BA3961"/>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11800</Words>
  <Characters>12440</Characters>
  <Lines>195</Lines>
  <Paragraphs>55</Paragraphs>
  <TotalTime>6</TotalTime>
  <ScaleCrop>false</ScaleCrop>
  <LinksUpToDate>false</LinksUpToDate>
  <CharactersWithSpaces>12819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星</cp:lastModifiedBy>
  <cp:lastPrinted>2025-06-19T07:46:00Z</cp:lastPrinted>
  <dcterms:modified xsi:type="dcterms:W3CDTF">2025-06-24T03:15:39Z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48AA6E5FF98F40F1AA2AFB739077E5BA_13</vt:lpwstr>
  </property>
  <property fmtid="{D5CDD505-2E9C-101B-9397-08002B2CF9AE}" pid="4" name="KSOTemplateDocerSaveRecord">
    <vt:lpwstr>eyJoZGlkIjoiZjBhZTE5YWE5ODEzYTc2MmM3NTU5YmRjYWEwMGQ3MmQiLCJ1c2VySWQiOiIzMTI5NDg3NjQifQ==</vt:lpwstr>
  </property>
</Properties>
</file>