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74BB8684">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eastAsia="zh-CN"/>
        </w:rPr>
        <w:t>桐城师范高等专科学校</w:t>
      </w:r>
      <w:r>
        <w:rPr>
          <w:rFonts w:hint="eastAsia" w:ascii="宋体" w:hAnsi="宋体" w:cs="宋体"/>
          <w:b/>
          <w:color w:val="auto"/>
          <w:sz w:val="44"/>
          <w:szCs w:val="44"/>
          <w:highlight w:val="none"/>
          <w:lang w:val="en-US" w:eastAsia="zh-CN"/>
        </w:rPr>
        <w:t>学生实习责任保险</w:t>
      </w:r>
    </w:p>
    <w:p w14:paraId="71B6110E">
      <w:pPr>
        <w:spacing w:line="360" w:lineRule="auto"/>
        <w:jc w:val="center"/>
        <w:rPr>
          <w:rFonts w:hint="default"/>
          <w:color w:val="auto"/>
          <w:sz w:val="44"/>
          <w:szCs w:val="44"/>
          <w:highlight w:val="none"/>
          <w:lang w:val="en-US"/>
        </w:rPr>
      </w:pPr>
      <w:r>
        <w:rPr>
          <w:rFonts w:hint="eastAsia" w:ascii="宋体" w:hAnsi="宋体" w:cs="宋体"/>
          <w:b/>
          <w:color w:val="auto"/>
          <w:sz w:val="44"/>
          <w:szCs w:val="44"/>
          <w:highlight w:val="none"/>
          <w:lang w:val="en-US" w:eastAsia="zh-CN"/>
        </w:rPr>
        <w:t>采购项目</w:t>
      </w:r>
    </w:p>
    <w:p w14:paraId="65A287D0">
      <w:pPr>
        <w:spacing w:line="480" w:lineRule="exact"/>
        <w:rPr>
          <w:rFonts w:ascii="宋体"/>
          <w:color w:val="auto"/>
          <w:sz w:val="44"/>
          <w:szCs w:val="44"/>
          <w:highlight w:val="none"/>
        </w:rPr>
      </w:pPr>
    </w:p>
    <w:p w14:paraId="5550E19F">
      <w:pPr>
        <w:pStyle w:val="82"/>
      </w:pPr>
    </w:p>
    <w:p w14:paraId="67D512C5">
      <w:pPr>
        <w:pStyle w:val="81"/>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012</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05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1"/>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1464"/>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D5C7722">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1D6B64A2">
      <w:pPr>
        <w:jc w:val="center"/>
        <w:rPr>
          <w:rFonts w:hint="eastAsia" w:ascii="华文中宋" w:hAnsi="华文中宋" w:eastAsia="华文中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桐城师范高等专科学校学生实习责任保险采购项目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桐城师范高等专科学校学生实习责任保险采购项目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 6 月 3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798"/>
      <w:bookmarkStart w:id="8" w:name="_Toc28359012"/>
      <w:bookmarkStart w:id="9" w:name="_Toc35393629"/>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012</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桐城师范高等专科学校学生实习责任保险采购项目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一包：半年期15元/人；二包：一年期30元/人。</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一包：半年期15元/人；二包：一年期30元/人。</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桐城师范高等专科学校学生实习责任保险采购项目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合同履行期限：半年期自保险合同签订至</w:t>
      </w:r>
      <w:r>
        <w:rPr>
          <w:rFonts w:hint="eastAsia" w:ascii="仿宋" w:hAnsi="仿宋" w:eastAsia="仿宋"/>
          <w:color w:val="auto"/>
          <w:sz w:val="28"/>
          <w:szCs w:val="28"/>
          <w:highlight w:val="none"/>
          <w:lang w:val="en-US" w:eastAsia="zh-CN"/>
        </w:rPr>
        <w:t>6个月后</w:t>
      </w:r>
      <w:r>
        <w:rPr>
          <w:rFonts w:hint="eastAsia" w:ascii="仿宋" w:hAnsi="仿宋" w:eastAsia="仿宋"/>
          <w:color w:val="auto"/>
          <w:sz w:val="28"/>
          <w:szCs w:val="28"/>
          <w:highlight w:val="none"/>
        </w:rPr>
        <w:t>结束</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一年期自保险合同签订至</w:t>
      </w:r>
      <w:r>
        <w:rPr>
          <w:rFonts w:hint="eastAsia" w:ascii="仿宋" w:hAnsi="仿宋" w:eastAsia="仿宋"/>
          <w:color w:val="auto"/>
          <w:sz w:val="28"/>
          <w:szCs w:val="28"/>
          <w:highlight w:val="none"/>
          <w:lang w:val="en-US" w:eastAsia="zh-CN"/>
        </w:rPr>
        <w:t xml:space="preserve">12个月后结束。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35393799"/>
      <w:bookmarkStart w:id="13" w:name="_Toc35393630"/>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28359091"/>
      <w:bookmarkStart w:id="16" w:name="_Toc35393800"/>
      <w:bookmarkStart w:id="17" w:name="_Toc28359014"/>
      <w:bookmarkStart w:id="18" w:name="_Toc35393631"/>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须具有保险行业监管部门颁发的有效的《经营保险业务许可证》或《保险许可证》，投标时需提供影印件。注：分支机构须取得总公司的相关授权或出具总公司的有关文件、制度等能够证明总公司授权其独立开展业务的证明（响应文件中须提供证明材料影印件），谈判文件中关于法定代表人的要求事项可由分支机构负责人代理。同一总公司的分支机构不能同时参与本项目的谈判；</w:t>
      </w:r>
    </w:p>
    <w:p w14:paraId="1B1F8ECC">
      <w:pPr>
        <w:spacing w:line="420" w:lineRule="exact"/>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4.本项目包含两个标段：一包：半年期保险；二包：一年期保险。</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6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3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28359092"/>
      <w:bookmarkStart w:id="21" w:name="_Toc28359015"/>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16"/>
      <w:bookmarkStart w:id="24" w:name="_Toc28359093"/>
      <w:bookmarkStart w:id="25" w:name="_Toc35393802"/>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6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3 </w:t>
      </w:r>
      <w:r>
        <w:rPr>
          <w:rFonts w:hint="eastAsia" w:ascii="仿宋" w:hAnsi="仿宋" w:eastAsia="仿宋" w:cs="仿宋"/>
          <w:b w:val="0"/>
          <w:bCs/>
          <w:color w:val="auto"/>
          <w:sz w:val="28"/>
          <w:szCs w:val="28"/>
          <w:highlight w:val="none"/>
        </w:rPr>
        <w:t>日9时00分</w:t>
      </w:r>
    </w:p>
    <w:p w14:paraId="483ECCE2">
      <w:pPr>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eastAsia="zh-CN"/>
        </w:rPr>
        <w:t>安徽建方工程造价有限公司二楼会议室</w:t>
      </w:r>
    </w:p>
    <w:p w14:paraId="7B2D324D">
      <w:pPr>
        <w:ind w:firstLine="1400" w:firstLineChars="500"/>
        <w:rPr>
          <w:rFonts w:hint="eastAsia"/>
          <w:lang w:eastAsia="zh-CN"/>
        </w:rPr>
      </w:pPr>
      <w:r>
        <w:rPr>
          <w:rFonts w:hint="eastAsia" w:ascii="仿宋" w:hAnsi="仿宋" w:eastAsia="仿宋" w:cs="仿宋"/>
          <w:b w:val="0"/>
          <w:bCs/>
          <w:color w:val="auto"/>
          <w:sz w:val="28"/>
          <w:szCs w:val="28"/>
          <w:highlight w:val="none"/>
          <w:lang w:eastAsia="zh-CN"/>
        </w:rPr>
        <w:t>（桐城市龙眠东路261号）</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634"/>
      <w:bookmarkStart w:id="28" w:name="_Toc28359094"/>
      <w:bookmarkStart w:id="29" w:name="_Toc28359017"/>
      <w:bookmarkStart w:id="30" w:name="_Toc35393803"/>
      <w:r>
        <w:rPr>
          <w:rFonts w:hint="eastAsia" w:ascii="仿宋" w:hAnsi="仿宋" w:eastAsia="仿宋"/>
          <w:color w:val="auto"/>
          <w:sz w:val="28"/>
          <w:szCs w:val="28"/>
          <w:highlight w:val="none"/>
          <w:lang w:val="en-US" w:eastAsia="zh-CN"/>
        </w:rPr>
        <w:t>时间：2025年 6 月 3 日9时00分</w:t>
      </w:r>
    </w:p>
    <w:p w14:paraId="677DC9EF">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地点：安徽建方工程造价有限公司二楼会议室</w:t>
      </w:r>
    </w:p>
    <w:p w14:paraId="2246185D">
      <w:pPr>
        <w:pStyle w:val="82"/>
        <w:ind w:firstLine="1400" w:firstLineChars="500"/>
        <w:rPr>
          <w:rFonts w:hint="default"/>
          <w:lang w:val="en-US" w:eastAsia="zh-CN"/>
        </w:rPr>
      </w:pPr>
      <w:r>
        <w:rPr>
          <w:rFonts w:hint="eastAsia" w:ascii="仿宋" w:hAnsi="仿宋" w:eastAsia="仿宋"/>
          <w:color w:val="auto"/>
          <w:sz w:val="28"/>
          <w:szCs w:val="28"/>
          <w:highlight w:val="none"/>
          <w:lang w:val="en-US" w:eastAsia="zh-CN"/>
        </w:rPr>
        <w:t>（桐城市龙眠东路261号）</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7AF73E49">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地址：安徽建方工程造价有限公司二楼会议室</w:t>
      </w:r>
    </w:p>
    <w:p w14:paraId="545905B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（桐城市龙眠东路261号） </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w:t>
      </w:r>
      <w:r>
        <w:rPr>
          <w:rFonts w:hint="eastAsia" w:ascii="宋体" w:hAnsi="宋体" w:eastAsia="宋体" w:cs="宋体"/>
          <w:i w:val="0"/>
          <w:iCs w:val="0"/>
          <w:caps w:val="0"/>
          <w:color w:val="333333"/>
          <w:spacing w:val="0"/>
          <w:sz w:val="27"/>
          <w:szCs w:val="27"/>
          <w:shd w:val="clear" w:fill="FFFFFF"/>
        </w:rPr>
        <w:t>16655617228</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54941329"/>
      <w:bookmarkStart w:id="35" w:name="_Toc2606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17862"/>
      <w:bookmarkStart w:id="38" w:name="_Toc54941330"/>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两个包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25270"/>
      <w:bookmarkStart w:id="44" w:name="_Toc15055"/>
      <w:bookmarkStart w:id="45" w:name="_Toc10523"/>
      <w:bookmarkStart w:id="46" w:name="_Toc7325"/>
      <w:bookmarkStart w:id="47" w:name="_Toc21078"/>
      <w:bookmarkStart w:id="48" w:name="_Toc439316919"/>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8228"/>
      <w:bookmarkStart w:id="51" w:name="_Toc439316920"/>
      <w:bookmarkStart w:id="52" w:name="_Toc27113"/>
      <w:bookmarkStart w:id="53" w:name="_Toc24643"/>
      <w:bookmarkStart w:id="54" w:name="_Toc10933"/>
      <w:bookmarkStart w:id="55" w:name="_Toc439316874"/>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20E9133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1"/>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1"/>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31"/>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31"/>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按实际投保人数计算和支付保险费用</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三年</w:t>
            </w:r>
            <w:bookmarkStart w:id="127" w:name="_GoBack"/>
            <w:bookmarkEnd w:id="127"/>
          </w:p>
        </w:tc>
      </w:tr>
    </w:tbl>
    <w:p w14:paraId="08AFCB4E">
      <w:pPr>
        <w:pStyle w:val="4"/>
        <w:keepNext/>
        <w:keepLines/>
        <w:pageBreakBefore w:val="0"/>
        <w:widowControl w:val="0"/>
        <w:numPr>
          <w:ilvl w:val="0"/>
          <w:numId w:val="6"/>
        </w:numPr>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p w14:paraId="2DB0B91A">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right="62" w:firstLine="480" w:firstLineChars="200"/>
        <w:jc w:val="both"/>
        <w:textAlignment w:val="auto"/>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lang w:val="en-US" w:eastAsia="zh-CN"/>
        </w:rPr>
        <w:t>一、</w:t>
      </w:r>
      <w:r>
        <w:rPr>
          <w:rFonts w:hint="eastAsia" w:ascii="宋体" w:hAnsi="宋体" w:eastAsia="宋体" w:cs="宋体"/>
          <w:i w:val="0"/>
          <w:caps w:val="0"/>
          <w:color w:val="333333"/>
          <w:spacing w:val="0"/>
          <w:sz w:val="24"/>
          <w:szCs w:val="24"/>
        </w:rPr>
        <w:t>项目概况</w:t>
      </w:r>
    </w:p>
    <w:p w14:paraId="22FACDB7">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default"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1.本项目</w:t>
      </w:r>
      <w:r>
        <w:rPr>
          <w:rFonts w:hint="eastAsia" w:ascii="宋体" w:hAnsi="宋体" w:eastAsia="宋体" w:cs="宋体"/>
          <w:i w:val="0"/>
          <w:caps w:val="0"/>
          <w:color w:val="333333"/>
          <w:spacing w:val="0"/>
          <w:sz w:val="24"/>
          <w:szCs w:val="24"/>
        </w:rPr>
        <w:t>保险日期分半年期和一年期</w:t>
      </w:r>
      <w:r>
        <w:rPr>
          <w:rFonts w:hint="eastAsia" w:ascii="宋体" w:hAnsi="宋体" w:eastAsia="宋体" w:cs="宋体"/>
          <w:i w:val="0"/>
          <w:caps w:val="0"/>
          <w:color w:val="333333"/>
          <w:spacing w:val="0"/>
          <w:sz w:val="24"/>
          <w:szCs w:val="24"/>
          <w:lang w:val="en-US" w:eastAsia="zh-CN"/>
        </w:rPr>
        <w:t>两个标段，请供应商分别报价</w:t>
      </w:r>
      <w:r>
        <w:rPr>
          <w:rFonts w:hint="eastAsia" w:ascii="宋体" w:hAnsi="宋体" w:eastAsia="宋体" w:cs="宋体"/>
          <w:i w:val="0"/>
          <w:caps w:val="0"/>
          <w:color w:val="333333"/>
          <w:spacing w:val="0"/>
          <w:sz w:val="24"/>
          <w:szCs w:val="24"/>
        </w:rPr>
        <w:t>，每人保额4万。半年期自保险合同签订至</w:t>
      </w:r>
      <w:r>
        <w:rPr>
          <w:rFonts w:hint="eastAsia" w:ascii="宋体" w:hAnsi="宋体" w:eastAsia="宋体" w:cs="宋体"/>
          <w:i w:val="0"/>
          <w:caps w:val="0"/>
          <w:color w:val="333333"/>
          <w:spacing w:val="0"/>
          <w:sz w:val="24"/>
          <w:szCs w:val="24"/>
          <w:lang w:val="en-US" w:eastAsia="zh-CN"/>
        </w:rPr>
        <w:t>6个月后</w:t>
      </w:r>
      <w:r>
        <w:rPr>
          <w:rFonts w:hint="eastAsia" w:ascii="宋体" w:hAnsi="宋体" w:eastAsia="宋体" w:cs="宋体"/>
          <w:i w:val="0"/>
          <w:caps w:val="0"/>
          <w:color w:val="333333"/>
          <w:spacing w:val="0"/>
          <w:sz w:val="24"/>
          <w:szCs w:val="24"/>
        </w:rPr>
        <w:t>结束；一年期自保险合同签订至</w:t>
      </w:r>
      <w:r>
        <w:rPr>
          <w:rFonts w:hint="eastAsia" w:ascii="宋体" w:hAnsi="宋体" w:eastAsia="宋体" w:cs="宋体"/>
          <w:i w:val="0"/>
          <w:caps w:val="0"/>
          <w:color w:val="333333"/>
          <w:spacing w:val="0"/>
          <w:sz w:val="24"/>
          <w:szCs w:val="24"/>
          <w:lang w:val="en-US" w:eastAsia="zh-CN"/>
        </w:rPr>
        <w:t>12个月后结束</w:t>
      </w:r>
      <w:r>
        <w:rPr>
          <w:rFonts w:hint="eastAsia" w:ascii="宋体" w:hAnsi="宋体" w:eastAsia="宋体" w:cs="宋体"/>
          <w:i w:val="0"/>
          <w:caps w:val="0"/>
          <w:color w:val="333333"/>
          <w:spacing w:val="0"/>
          <w:sz w:val="24"/>
          <w:szCs w:val="24"/>
        </w:rPr>
        <w:t>。</w:t>
      </w:r>
    </w:p>
    <w:p w14:paraId="444AEDE0">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default"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2.按每人确定保险所需费用，按实际投保人数计算和支付保险费用。</w:t>
      </w:r>
    </w:p>
    <w:p w14:paraId="2568BCE1">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3.预算金额：半年期15元/人；一年期30元/人。</w:t>
      </w:r>
    </w:p>
    <w:p w14:paraId="0E6E0613">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 xml:space="preserve">   2025-2026学年   预估半年期500人；7500元</w:t>
      </w:r>
    </w:p>
    <w:p w14:paraId="271B54EC">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 xml:space="preserve">                       一年期1600人；48000元</w:t>
      </w:r>
    </w:p>
    <w:p w14:paraId="0B39CCF3">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 xml:space="preserve">   2026-2027学年   预估半年期500人；7500元</w:t>
      </w:r>
    </w:p>
    <w:p w14:paraId="6CE57DDD">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 xml:space="preserve">                       一年期1600人；48000元</w:t>
      </w:r>
    </w:p>
    <w:p w14:paraId="65A89884">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 xml:space="preserve">   2027-2028学年   预估半年期500人；7500元</w:t>
      </w:r>
    </w:p>
    <w:p w14:paraId="3153F44B">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 xml:space="preserve">                       一年期1600人；48000元</w:t>
      </w:r>
    </w:p>
    <w:p w14:paraId="4C987843">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default" w:ascii="宋体" w:hAnsi="宋体" w:eastAsia="宋体" w:cs="宋体"/>
          <w:i w:val="0"/>
          <w:caps w:val="0"/>
          <w:color w:val="333333"/>
          <w:spacing w:val="0"/>
          <w:sz w:val="24"/>
          <w:szCs w:val="24"/>
          <w:lang w:val="en-US" w:eastAsia="zh-CN"/>
        </w:rPr>
      </w:pPr>
      <w:r>
        <w:rPr>
          <w:rFonts w:hint="eastAsia" w:ascii="宋体" w:hAnsi="宋体" w:eastAsia="宋体" w:cs="宋体"/>
          <w:i w:val="0"/>
          <w:caps w:val="0"/>
          <w:color w:val="333333"/>
          <w:spacing w:val="0"/>
          <w:sz w:val="24"/>
          <w:szCs w:val="24"/>
          <w:lang w:val="en-US" w:eastAsia="zh-CN"/>
        </w:rPr>
        <w:t>4.购买</w:t>
      </w:r>
      <w:r>
        <w:rPr>
          <w:rFonts w:hint="eastAsia" w:ascii="宋体" w:hAnsi="宋体" w:eastAsia="宋体" w:cs="宋体"/>
          <w:i w:val="0"/>
          <w:caps w:val="0"/>
          <w:color w:val="333333"/>
          <w:spacing w:val="0"/>
          <w:sz w:val="24"/>
          <w:szCs w:val="24"/>
        </w:rPr>
        <w:t>期限：</w:t>
      </w:r>
      <w:r>
        <w:rPr>
          <w:rFonts w:hint="eastAsia" w:ascii="宋体" w:hAnsi="宋体" w:eastAsia="宋体" w:cs="宋体"/>
          <w:i w:val="0"/>
          <w:caps w:val="0"/>
          <w:color w:val="333333"/>
          <w:spacing w:val="0"/>
          <w:sz w:val="24"/>
          <w:szCs w:val="24"/>
          <w:lang w:val="en-US" w:eastAsia="zh-CN"/>
        </w:rPr>
        <w:t>2025年7月-2028年7月</w:t>
      </w:r>
    </w:p>
    <w:p w14:paraId="63D6FCFE">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left="60" w:right="62" w:firstLine="420"/>
        <w:jc w:val="both"/>
        <w:textAlignment w:val="auto"/>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lang w:val="en-US" w:eastAsia="zh-CN"/>
        </w:rPr>
        <w:t>二、</w:t>
      </w:r>
      <w:r>
        <w:rPr>
          <w:rFonts w:hint="eastAsia" w:ascii="宋体" w:hAnsi="宋体" w:eastAsia="宋体" w:cs="宋体"/>
          <w:i w:val="0"/>
          <w:caps w:val="0"/>
          <w:color w:val="333333"/>
          <w:spacing w:val="0"/>
          <w:sz w:val="24"/>
          <w:szCs w:val="24"/>
        </w:rPr>
        <w:t>保险业务信息</w:t>
      </w:r>
    </w:p>
    <w:p w14:paraId="6CA1E0BE">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right="62" w:firstLine="480" w:firstLineChars="200"/>
        <w:jc w:val="both"/>
        <w:textAlignment w:val="auto"/>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rPr>
        <w:t>意外身故保险金：≥四万元/人。自意外发生之日起180日内因该意外伤害导致身故；意外残疾保险金：自意外伤害发生之日起180日内，因该意外伤害导致残疾，为《人身保险伤残评定标准（行业标准）》所列伤残程度之一，按：意外伤害残疾保险金=保险金额*身体残疾所对应的比例。</w:t>
      </w:r>
    </w:p>
    <w:p w14:paraId="08FF1287">
      <w:pPr>
        <w:pStyle w:val="5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480" w:lineRule="exact"/>
        <w:ind w:right="62" w:firstLine="480" w:firstLineChars="200"/>
        <w:jc w:val="both"/>
        <w:textAlignment w:val="auto"/>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rPr>
        <w:t>意外伤害保险金:实习期间学生受到意外伤害但未达到《人身保险伤残评定标准（行业标准）》所列伤残程度之一的，按照学生所受伤害治疗的所有费用（凭医疗机构的正规发票）的50%赔付（不超过四万元），在提交发票（或复印件）后30天内完成赔付工作。</w:t>
      </w:r>
    </w:p>
    <w:p w14:paraId="4796EE33">
      <w:pPr>
        <w:jc w:val="both"/>
        <w:rPr>
          <w:rFonts w:hint="eastAsia"/>
          <w:b/>
          <w:sz w:val="30"/>
          <w:szCs w:val="30"/>
          <w:lang w:val="en-US" w:eastAsia="zh-CN"/>
        </w:rPr>
      </w:pPr>
    </w:p>
    <w:p w14:paraId="4480C07B">
      <w:pPr>
        <w:jc w:val="both"/>
        <w:rPr>
          <w:rFonts w:hint="eastAsia"/>
          <w:b/>
          <w:sz w:val="30"/>
          <w:szCs w:val="30"/>
          <w:lang w:val="en-US" w:eastAsia="zh-CN"/>
        </w:rPr>
      </w:pPr>
    </w:p>
    <w:p w14:paraId="29691661">
      <w:pPr>
        <w:jc w:val="both"/>
        <w:rPr>
          <w:rFonts w:hint="default"/>
          <w:b/>
          <w:sz w:val="30"/>
          <w:szCs w:val="30"/>
          <w:lang w:val="en-US" w:eastAsia="zh-CN"/>
        </w:rPr>
      </w:pPr>
    </w:p>
    <w:p w14:paraId="4F4F69DF">
      <w:pPr>
        <w:pStyle w:val="2"/>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14:paraId="146EB5DE">
      <w:pPr>
        <w:rPr>
          <w:rFonts w:hint="eastAsia" w:ascii="Arial" w:hAnsi="Arial"/>
          <w:color w:val="auto"/>
          <w:kern w:val="2"/>
          <w:sz w:val="32"/>
          <w:szCs w:val="32"/>
          <w:highlight w:val="none"/>
          <w:lang w:val="en-US" w:eastAsia="zh-CN"/>
        </w:rPr>
      </w:pPr>
    </w:p>
    <w:p w14:paraId="2B91CE10">
      <w:pPr>
        <w:pStyle w:val="3"/>
        <w:rPr>
          <w:rFonts w:hint="eastAsia" w:ascii="Arial" w:hAnsi="Arial"/>
          <w:color w:val="auto"/>
          <w:kern w:val="2"/>
          <w:sz w:val="32"/>
          <w:szCs w:val="32"/>
          <w:highlight w:val="none"/>
          <w:lang w:val="en-US" w:eastAsia="zh-CN"/>
        </w:rPr>
      </w:pPr>
    </w:p>
    <w:p w14:paraId="0C9C87BB">
      <w:pPr>
        <w:rPr>
          <w:rFonts w:hint="eastAsia" w:ascii="Arial" w:hAnsi="Arial"/>
          <w:color w:val="auto"/>
          <w:kern w:val="2"/>
          <w:sz w:val="32"/>
          <w:szCs w:val="32"/>
          <w:highlight w:val="none"/>
          <w:lang w:val="en-US" w:eastAsia="zh-CN"/>
        </w:rPr>
      </w:pPr>
    </w:p>
    <w:p w14:paraId="7937AF86">
      <w:pPr>
        <w:pStyle w:val="3"/>
        <w:rPr>
          <w:rFonts w:hint="eastAsia" w:ascii="Arial" w:hAnsi="Arial"/>
          <w:color w:val="auto"/>
          <w:kern w:val="2"/>
          <w:sz w:val="32"/>
          <w:szCs w:val="32"/>
          <w:highlight w:val="none"/>
          <w:lang w:val="en-US" w:eastAsia="zh-CN"/>
        </w:rPr>
      </w:pPr>
    </w:p>
    <w:p w14:paraId="41A97063">
      <w:pPr>
        <w:rPr>
          <w:rFonts w:hint="eastAsia" w:ascii="Arial" w:hAnsi="Arial"/>
          <w:color w:val="auto"/>
          <w:kern w:val="2"/>
          <w:sz w:val="32"/>
          <w:szCs w:val="32"/>
          <w:highlight w:val="none"/>
          <w:lang w:val="en-US" w:eastAsia="zh-CN"/>
        </w:rPr>
      </w:pPr>
    </w:p>
    <w:p w14:paraId="6E3B8ED2">
      <w:pPr>
        <w:rPr>
          <w:rFonts w:hint="eastAsia" w:ascii="Arial" w:hAnsi="Arial"/>
          <w:color w:val="auto"/>
          <w:kern w:val="2"/>
          <w:sz w:val="32"/>
          <w:szCs w:val="32"/>
          <w:highlight w:val="none"/>
          <w:lang w:val="en-US" w:eastAsia="zh-CN"/>
        </w:rPr>
      </w:pPr>
    </w:p>
    <w:p w14:paraId="409D9492">
      <w:pPr>
        <w:rPr>
          <w:rFonts w:hint="eastAsia" w:ascii="Arial" w:hAnsi="Arial"/>
          <w:color w:val="auto"/>
          <w:kern w:val="2"/>
          <w:sz w:val="32"/>
          <w:szCs w:val="32"/>
          <w:highlight w:val="none"/>
          <w:lang w:val="en-US" w:eastAsia="zh-CN"/>
        </w:rPr>
      </w:pPr>
    </w:p>
    <w:p w14:paraId="5A7510D4">
      <w:pPr>
        <w:rPr>
          <w:rFonts w:hint="eastAsia" w:ascii="Arial" w:hAnsi="Arial"/>
          <w:color w:val="auto"/>
          <w:kern w:val="2"/>
          <w:sz w:val="32"/>
          <w:szCs w:val="32"/>
          <w:highlight w:val="none"/>
          <w:lang w:val="en-US" w:eastAsia="zh-CN"/>
        </w:rPr>
      </w:pPr>
    </w:p>
    <w:p w14:paraId="0F933C9D">
      <w:pPr>
        <w:rPr>
          <w:rFonts w:hint="eastAsia" w:ascii="Arial" w:hAnsi="Arial"/>
          <w:color w:val="auto"/>
          <w:kern w:val="2"/>
          <w:sz w:val="32"/>
          <w:szCs w:val="32"/>
          <w:highlight w:val="none"/>
          <w:lang w:val="en-US" w:eastAsia="zh-CN"/>
        </w:rPr>
      </w:pPr>
    </w:p>
    <w:p w14:paraId="3C95565E">
      <w:pPr>
        <w:rPr>
          <w:rFonts w:hint="eastAsia" w:ascii="Arial" w:hAnsi="Arial"/>
          <w:color w:val="auto"/>
          <w:kern w:val="2"/>
          <w:sz w:val="32"/>
          <w:szCs w:val="32"/>
          <w:highlight w:val="none"/>
          <w:lang w:val="en-US" w:eastAsia="zh-CN"/>
        </w:rPr>
      </w:pPr>
    </w:p>
    <w:p w14:paraId="2C52FD00">
      <w:pPr>
        <w:rPr>
          <w:rFonts w:hint="eastAsia" w:ascii="Arial" w:hAnsi="Arial"/>
          <w:color w:val="auto"/>
          <w:kern w:val="2"/>
          <w:sz w:val="32"/>
          <w:szCs w:val="32"/>
          <w:highlight w:val="none"/>
          <w:lang w:val="en-US" w:eastAsia="zh-CN"/>
        </w:rPr>
      </w:pPr>
    </w:p>
    <w:p w14:paraId="330336BA">
      <w:pPr>
        <w:rPr>
          <w:rFonts w:hint="eastAsia" w:ascii="Arial" w:hAnsi="Arial"/>
          <w:color w:val="auto"/>
          <w:kern w:val="2"/>
          <w:sz w:val="32"/>
          <w:szCs w:val="32"/>
          <w:highlight w:val="none"/>
          <w:lang w:val="en-US" w:eastAsia="zh-CN"/>
        </w:rPr>
      </w:pPr>
    </w:p>
    <w:p w14:paraId="0739A52A">
      <w:pPr>
        <w:rPr>
          <w:rFonts w:hint="eastAsia"/>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431"/>
      <w:bookmarkStart w:id="68" w:name="_Toc7241"/>
      <w:bookmarkStart w:id="69" w:name="_Toc3977"/>
      <w:bookmarkStart w:id="70" w:name="_Toc27586"/>
      <w:bookmarkStart w:id="71" w:name="_Toc28300"/>
      <w:bookmarkStart w:id="72" w:name="_Toc10569"/>
      <w:bookmarkStart w:id="73" w:name="_Toc54941340"/>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4A2D9FEF">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4"/>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1"/>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4" w:name="_Toc24059"/>
      <w:bookmarkStart w:id="75" w:name="_Toc302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3" w:name="_Toc1814"/>
      <w:bookmarkStart w:id="84" w:name="_Toc10340"/>
      <w:bookmarkStart w:id="85"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6" w:name="_Toc19304"/>
      <w:bookmarkStart w:id="87" w:name="_Toc2846"/>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89" w:name="_Toc21423"/>
      <w:bookmarkStart w:id="90" w:name="_Toc19554"/>
      <w:bookmarkStart w:id="91" w:name="_Toc27250"/>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2" w:name="_Toc28375"/>
      <w:bookmarkStart w:id="93" w:name="_Toc15583"/>
      <w:bookmarkStart w:id="94" w:name="_Toc16021"/>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4152B0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w:t>
      </w:r>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向</w:t>
      </w:r>
      <w:r>
        <w:rPr>
          <w:rFonts w:hint="eastAsia" w:asciiTheme="minorEastAsia" w:hAnsiTheme="minorEastAsia" w:eastAsiaTheme="minorEastAsia"/>
          <w:color w:val="auto"/>
          <w:sz w:val="24"/>
          <w:highlight w:val="none"/>
          <w:u w:val="single"/>
          <w:lang w:val="en-US" w:eastAsia="zh-CN"/>
        </w:rPr>
        <w:t xml:space="preserve"> 安庆市 </w:t>
      </w:r>
      <w:r>
        <w:rPr>
          <w:rFonts w:hint="eastAsia" w:asciiTheme="minorEastAsia" w:hAnsiTheme="minorEastAsia" w:eastAsiaTheme="minorEastAsia"/>
          <w:color w:val="auto"/>
          <w:sz w:val="24"/>
          <w:highlight w:val="none"/>
        </w:rPr>
        <w:t>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15451E22">
      <w:pPr>
        <w:widowControl/>
        <w:spacing w:line="560" w:lineRule="exact"/>
        <w:jc w:val="left"/>
        <w:rPr>
          <w:rFonts w:hint="eastAsia" w:asciiTheme="minorEastAsia" w:hAnsiTheme="minorEastAsia" w:eastAsiaTheme="minorEastAsia"/>
          <w:bCs/>
          <w:color w:val="auto"/>
          <w:sz w:val="24"/>
          <w:highlight w:val="none"/>
          <w:lang w:val="en-US" w:eastAsia="zh-CN"/>
        </w:rPr>
      </w:pPr>
    </w:p>
    <w:p w14:paraId="320FDF8E">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4022CE1E">
      <w:pPr>
        <w:widowControl/>
        <w:spacing w:line="560" w:lineRule="exact"/>
        <w:jc w:val="left"/>
        <w:rPr>
          <w:rFonts w:hint="default" w:asciiTheme="minorEastAsia" w:hAnsiTheme="minorEastAsia" w:eastAsiaTheme="minorEastAsia"/>
          <w:bCs/>
          <w:color w:val="auto"/>
          <w:sz w:val="24"/>
          <w:highlight w:val="none"/>
          <w:lang w:val="en-US" w:eastAsia="zh-CN"/>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4EA7CCE3">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1812"/>
      <w:bookmarkStart w:id="99" w:name="_Toc439316880"/>
      <w:bookmarkStart w:id="100" w:name="_Toc54941341"/>
      <w:bookmarkStart w:id="101" w:name="_Toc8981"/>
    </w:p>
    <w:p w14:paraId="3A07A625">
      <w:pPr>
        <w:pStyle w:val="2"/>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1"/>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1"/>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094CAABA">
      <w:pPr>
        <w:spacing w:line="480" w:lineRule="auto"/>
        <w:rPr>
          <w:rFonts w:ascii="宋体" w:cs="宋体"/>
          <w:color w:val="auto"/>
          <w:sz w:val="24"/>
          <w:highlight w:val="none"/>
        </w:rPr>
      </w:pPr>
    </w:p>
    <w:p w14:paraId="65F34A69">
      <w:pPr>
        <w:spacing w:line="480" w:lineRule="auto"/>
        <w:rPr>
          <w:rFonts w:ascii="宋体" w:cs="宋体"/>
          <w:color w:val="auto"/>
          <w:sz w:val="24"/>
          <w:highlight w:val="none"/>
        </w:rPr>
      </w:pPr>
    </w:p>
    <w:p w14:paraId="55E1C47A">
      <w:pPr>
        <w:spacing w:line="480" w:lineRule="auto"/>
        <w:rPr>
          <w:rFonts w:ascii="宋体" w:cs="宋体"/>
          <w:color w:val="auto"/>
          <w:sz w:val="24"/>
          <w:highlight w:val="none"/>
        </w:rPr>
      </w:pPr>
    </w:p>
    <w:p w14:paraId="7259228D">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476584434"/>
      <w:bookmarkStart w:id="107" w:name="_Toc54941343"/>
      <w:bookmarkStart w:id="108" w:name="_Toc28034"/>
      <w:bookmarkStart w:id="109" w:name="_Toc28153"/>
      <w:bookmarkStart w:id="110" w:name="_Toc32647"/>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cs="宋体"/>
          <w:color w:val="auto"/>
          <w:kern w:val="2"/>
          <w:sz w:val="28"/>
          <w:szCs w:val="28"/>
          <w:highlight w:val="none"/>
          <w:lang w:val="en-US" w:eastAsia="zh-CN" w:bidi="ar-SA"/>
        </w:rPr>
        <w:t>一包半年期保险：</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jc w:val="center"/>
              <w:rPr>
                <w:rFonts w:hint="eastAsia"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1225E874">
      <w:pPr>
        <w:rPr>
          <w:rFonts w:hint="eastAsia" w:hAnsi="宋体" w:cs="宋体"/>
          <w:color w:val="auto"/>
          <w:sz w:val="28"/>
          <w:szCs w:val="28"/>
          <w:highlight w:val="none"/>
          <w:lang w:val="en-US" w:eastAsia="zh-CN"/>
        </w:rPr>
      </w:pPr>
    </w:p>
    <w:p w14:paraId="21416FEA">
      <w:pPr>
        <w:rPr>
          <w:rFonts w:hint="eastAsia" w:hAnsi="宋体" w:cs="宋体"/>
          <w:color w:val="auto"/>
          <w:sz w:val="28"/>
          <w:szCs w:val="28"/>
          <w:highlight w:val="none"/>
          <w:lang w:val="en-US" w:eastAsia="zh-CN"/>
        </w:rPr>
      </w:pPr>
    </w:p>
    <w:p w14:paraId="490D3682">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cs="宋体"/>
          <w:color w:val="auto"/>
          <w:kern w:val="2"/>
          <w:sz w:val="28"/>
          <w:szCs w:val="28"/>
          <w:highlight w:val="none"/>
          <w:lang w:val="en-US" w:eastAsia="zh-CN" w:bidi="ar-SA"/>
        </w:rPr>
        <w:t>二包一年期保险：</w:t>
      </w:r>
      <w:r>
        <w:rPr>
          <w:rFonts w:hint="eastAsia" w:hAnsi="宋体" w:eastAsia="宋体" w:cs="宋体"/>
          <w:color w:val="auto"/>
          <w:kern w:val="2"/>
          <w:sz w:val="28"/>
          <w:szCs w:val="28"/>
          <w:highlight w:val="none"/>
          <w:lang w:val="en-US" w:eastAsia="zh-CN" w:bidi="ar-SA"/>
        </w:rPr>
        <w:t>首轮报价表</w:t>
      </w:r>
    </w:p>
    <w:p w14:paraId="0DBC2804">
      <w:pPr>
        <w:snapToGrid w:val="0"/>
        <w:spacing w:line="360" w:lineRule="auto"/>
        <w:jc w:val="left"/>
        <w:rPr>
          <w:rFonts w:hint="eastAsia" w:ascii="宋体" w:hAnsi="宋体" w:eastAsia="宋体"/>
          <w:b/>
          <w:color w:val="auto"/>
          <w:sz w:val="24"/>
          <w:szCs w:val="28"/>
          <w:highlight w:val="none"/>
        </w:rPr>
      </w:pPr>
    </w:p>
    <w:p w14:paraId="18A065D2">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6453AB66">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41F1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38EA12C">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4A7344A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378C4D01">
            <w:pPr>
              <w:snapToGrid w:val="0"/>
              <w:spacing w:line="360" w:lineRule="auto"/>
              <w:jc w:val="center"/>
              <w:rPr>
                <w:rFonts w:hint="eastAsia"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D6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04D87105">
            <w:pPr>
              <w:spacing w:line="360" w:lineRule="auto"/>
              <w:jc w:val="center"/>
              <w:rPr>
                <w:rFonts w:ascii="宋体" w:hAnsi="宋体" w:eastAsia="宋体"/>
                <w:b/>
                <w:color w:val="auto"/>
                <w:sz w:val="24"/>
                <w:szCs w:val="24"/>
                <w:highlight w:val="none"/>
              </w:rPr>
            </w:pPr>
          </w:p>
        </w:tc>
        <w:tc>
          <w:tcPr>
            <w:tcW w:w="6606" w:type="dxa"/>
            <w:vAlign w:val="center"/>
          </w:tcPr>
          <w:p w14:paraId="1EBF7665">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299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2BA222E1">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34C6DCD3">
            <w:pPr>
              <w:spacing w:line="360" w:lineRule="auto"/>
              <w:rPr>
                <w:rFonts w:ascii="宋体" w:hAnsi="宋体" w:eastAsia="宋体"/>
                <w:b/>
                <w:color w:val="auto"/>
                <w:sz w:val="24"/>
                <w:highlight w:val="none"/>
              </w:rPr>
            </w:pPr>
          </w:p>
        </w:tc>
      </w:tr>
    </w:tbl>
    <w:p w14:paraId="2720B600">
      <w:pPr>
        <w:pStyle w:val="4"/>
        <w:rPr>
          <w:color w:val="auto"/>
          <w:highlight w:val="none"/>
        </w:rPr>
      </w:pPr>
    </w:p>
    <w:p w14:paraId="01241680">
      <w:pPr>
        <w:spacing w:line="440" w:lineRule="exact"/>
        <w:ind w:firstLine="4800" w:firstLineChars="2000"/>
        <w:rPr>
          <w:rFonts w:hint="eastAsia" w:ascii="宋体" w:hAnsi="宋体" w:eastAsia="宋体"/>
          <w:color w:val="auto"/>
          <w:sz w:val="24"/>
          <w:szCs w:val="24"/>
          <w:highlight w:val="none"/>
        </w:rPr>
      </w:pPr>
    </w:p>
    <w:p w14:paraId="02553A52">
      <w:pPr>
        <w:spacing w:line="440" w:lineRule="exact"/>
        <w:ind w:firstLine="4800" w:firstLineChars="2000"/>
        <w:rPr>
          <w:rFonts w:hint="eastAsia" w:ascii="宋体" w:hAnsi="宋体" w:eastAsia="宋体"/>
          <w:color w:val="auto"/>
          <w:sz w:val="24"/>
          <w:szCs w:val="24"/>
          <w:highlight w:val="none"/>
        </w:rPr>
      </w:pPr>
    </w:p>
    <w:p w14:paraId="2DEFEE8A">
      <w:pPr>
        <w:spacing w:line="440" w:lineRule="exact"/>
        <w:ind w:firstLine="4800" w:firstLineChars="2000"/>
        <w:rPr>
          <w:rFonts w:hint="eastAsia" w:ascii="宋体" w:hAnsi="宋体" w:eastAsia="宋体"/>
          <w:color w:val="auto"/>
          <w:sz w:val="24"/>
          <w:szCs w:val="24"/>
          <w:highlight w:val="none"/>
        </w:rPr>
      </w:pPr>
    </w:p>
    <w:p w14:paraId="2CF6B7D4">
      <w:pPr>
        <w:spacing w:line="440" w:lineRule="exact"/>
        <w:ind w:firstLine="4800" w:firstLineChars="2000"/>
        <w:rPr>
          <w:rFonts w:hint="eastAsia" w:ascii="宋体" w:hAnsi="宋体" w:eastAsia="宋体"/>
          <w:color w:val="auto"/>
          <w:sz w:val="24"/>
          <w:szCs w:val="24"/>
          <w:highlight w:val="none"/>
        </w:rPr>
      </w:pPr>
    </w:p>
    <w:p w14:paraId="2CA5359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3396F00">
      <w:pPr>
        <w:spacing w:line="360" w:lineRule="auto"/>
        <w:ind w:firstLine="3600" w:firstLineChars="1500"/>
        <w:rPr>
          <w:rFonts w:hint="eastAsia" w:ascii="宋体" w:hAnsi="宋体" w:eastAsia="宋体"/>
          <w:color w:val="auto"/>
          <w:sz w:val="24"/>
          <w:highlight w:val="none"/>
        </w:rPr>
      </w:pPr>
    </w:p>
    <w:p w14:paraId="7A2EB8AD">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04E3476">
      <w:pPr>
        <w:rPr>
          <w:rFonts w:hint="eastAsia" w:hAnsi="宋体" w:cs="宋体"/>
          <w:color w:val="auto"/>
          <w:sz w:val="28"/>
          <w:szCs w:val="28"/>
          <w:highlight w:val="none"/>
          <w:lang w:val="en-US" w:eastAsia="zh-CN"/>
        </w:rPr>
      </w:pPr>
    </w:p>
    <w:p w14:paraId="70656D10">
      <w:pPr>
        <w:rPr>
          <w:rFonts w:hint="eastAsia" w:hAnsi="宋体" w:cs="宋体"/>
          <w:color w:val="auto"/>
          <w:sz w:val="28"/>
          <w:szCs w:val="28"/>
          <w:highlight w:val="none"/>
          <w:lang w:val="en-US" w:eastAsia="zh-CN"/>
        </w:rPr>
      </w:pPr>
    </w:p>
    <w:p w14:paraId="52F5E113">
      <w:pPr>
        <w:rPr>
          <w:rFonts w:hint="eastAsia" w:hAnsi="宋体" w:cs="宋体"/>
          <w:color w:val="auto"/>
          <w:sz w:val="28"/>
          <w:szCs w:val="28"/>
          <w:highlight w:val="none"/>
          <w:lang w:val="en-US" w:eastAsia="zh-CN"/>
        </w:rPr>
      </w:pPr>
    </w:p>
    <w:p w14:paraId="740E8CA0">
      <w:pPr>
        <w:rPr>
          <w:rFonts w:hint="eastAsia" w:hAnsi="宋体" w:cs="宋体"/>
          <w:color w:val="auto"/>
          <w:sz w:val="28"/>
          <w:szCs w:val="28"/>
          <w:highlight w:val="none"/>
          <w:lang w:val="en-US" w:eastAsia="zh-CN"/>
        </w:rPr>
      </w:pPr>
    </w:p>
    <w:p w14:paraId="55E312A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6AEA3AEF">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bookmarkEnd w:id="111"/>
    <w:p w14:paraId="03B7DC02">
      <w:pPr>
        <w:spacing w:line="360" w:lineRule="auto"/>
        <w:ind w:firstLine="210" w:firstLineChars="100"/>
        <w:rPr>
          <w:rFonts w:ascii="宋体" w:hAnsi="宋体"/>
          <w:color w:val="auto"/>
          <w:szCs w:val="21"/>
          <w:highlight w:val="none"/>
        </w:rPr>
      </w:pPr>
      <w:bookmarkStart w:id="112" w:name="_Toc54941345"/>
      <w:bookmarkStart w:id="113" w:name="_Toc476584436"/>
      <w:bookmarkStart w:id="114" w:name="_Toc15038"/>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25"/>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1"/>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4"/>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8"/>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4"/>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4"/>
        <w:numPr>
          <w:ilvl w:val="0"/>
          <w:numId w:val="0"/>
        </w:numPr>
        <w:ind w:leftChars="0"/>
        <w:rPr>
          <w:color w:val="auto"/>
          <w:highlight w:val="none"/>
        </w:rPr>
      </w:pPr>
    </w:p>
    <w:p w14:paraId="165055B8">
      <w:pPr>
        <w:spacing w:line="360" w:lineRule="auto"/>
        <w:ind w:firstLine="3561" w:firstLineChars="1696"/>
        <w:rPr>
          <w:rFonts w:ascii="宋体" w:hAnsi="宋体"/>
          <w:color w:val="auto"/>
          <w:szCs w:val="21"/>
          <w:highlight w:val="none"/>
        </w:rPr>
      </w:pPr>
    </w:p>
    <w:p w14:paraId="3D63DB9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DD325FF">
      <w:pPr>
        <w:spacing w:line="360" w:lineRule="auto"/>
        <w:ind w:firstLine="3600" w:firstLineChars="1500"/>
        <w:rPr>
          <w:rFonts w:hint="eastAsia" w:ascii="宋体" w:hAnsi="宋体" w:eastAsia="宋体"/>
          <w:color w:val="auto"/>
          <w:sz w:val="24"/>
          <w:highlight w:val="none"/>
        </w:rPr>
      </w:pPr>
    </w:p>
    <w:p w14:paraId="2A15BA1F">
      <w:pPr>
        <w:spacing w:line="360" w:lineRule="auto"/>
        <w:ind w:firstLine="3600" w:firstLineChars="1500"/>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5F58EDD">
      <w:pPr>
        <w:pStyle w:val="4"/>
        <w:numPr>
          <w:ilvl w:val="0"/>
          <w:numId w:val="0"/>
        </w:numPr>
        <w:jc w:val="center"/>
        <w:rPr>
          <w:rFonts w:cs="宋体"/>
          <w:color w:val="auto"/>
          <w:sz w:val="28"/>
          <w:szCs w:val="28"/>
          <w:highlight w:val="none"/>
        </w:rPr>
      </w:pPr>
      <w:r>
        <w:rPr>
          <w:rFonts w:hint="eastAsia" w:cs="宋体"/>
          <w:color w:val="auto"/>
          <w:sz w:val="28"/>
          <w:szCs w:val="28"/>
          <w:highlight w:val="none"/>
          <w:lang w:val="en-US" w:eastAsia="zh-CN"/>
        </w:rPr>
        <w:t>四、</w:t>
      </w:r>
      <w:r>
        <w:rPr>
          <w:rFonts w:hint="eastAsia" w:cs="宋体"/>
          <w:color w:val="auto"/>
          <w:sz w:val="28"/>
          <w:szCs w:val="28"/>
          <w:highlight w:val="none"/>
        </w:rPr>
        <w:t>最后报价表</w:t>
      </w:r>
      <w:bookmarkEnd w:id="112"/>
    </w:p>
    <w:p w14:paraId="2886A71F">
      <w:pPr>
        <w:pStyle w:val="6"/>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6090" w:firstLineChars="2900"/>
        <w:rPr>
          <w:rFonts w:hint="eastAsia" w:ascii="宋体" w:eastAsia="宋体"/>
          <w:color w:val="auto"/>
          <w:highlight w:val="none"/>
          <w:lang w:eastAsia="zh-CN"/>
        </w:rPr>
      </w:pPr>
      <w:r>
        <w:rPr>
          <w:rFonts w:hint="eastAsia" w:ascii="宋体" w:hAnsi="宋体"/>
          <w:color w:val="auto"/>
          <w:highlight w:val="none"/>
        </w:rPr>
        <w:t>金额单位：人民币（元）</w:t>
      </w:r>
    </w:p>
    <w:tbl>
      <w:tblPr>
        <w:tblStyle w:val="61"/>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2105" w:type="dxa"/>
            <w:vMerge w:val="restart"/>
            <w:vAlign w:val="center"/>
          </w:tcPr>
          <w:p w14:paraId="44BF7754">
            <w:pPr>
              <w:spacing w:line="400" w:lineRule="exact"/>
              <w:jc w:val="center"/>
              <w:rPr>
                <w:rFonts w:hint="eastAsia" w:hAnsi="宋体"/>
                <w:color w:val="auto"/>
                <w:sz w:val="24"/>
                <w:highlight w:val="none"/>
                <w:lang w:val="en-US" w:eastAsia="zh-CN"/>
              </w:rPr>
            </w:pPr>
            <w:r>
              <w:rPr>
                <w:rFonts w:hint="eastAsia" w:hAnsi="宋体"/>
                <w:color w:val="auto"/>
                <w:sz w:val="24"/>
                <w:highlight w:val="none"/>
                <w:lang w:val="en-US" w:eastAsia="zh-CN"/>
              </w:rPr>
              <w:t>一包半年期保险</w:t>
            </w:r>
          </w:p>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2105"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821"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1"/>
        <w:rPr>
          <w:rFonts w:hint="eastAsia" w:cs="宋体"/>
          <w:b/>
          <w:bCs/>
          <w:color w:val="auto"/>
          <w:sz w:val="28"/>
          <w:szCs w:val="28"/>
          <w:highlight w:val="none"/>
          <w:lang w:eastAsia="zh-CN"/>
        </w:rPr>
      </w:pPr>
    </w:p>
    <w:p w14:paraId="23B86D71">
      <w:pPr>
        <w:pStyle w:val="81"/>
        <w:rPr>
          <w:rFonts w:hint="eastAsia" w:cs="宋体"/>
          <w:b/>
          <w:bCs/>
          <w:color w:val="auto"/>
          <w:sz w:val="28"/>
          <w:szCs w:val="28"/>
          <w:highlight w:val="none"/>
          <w:lang w:eastAsia="zh-CN"/>
        </w:rPr>
      </w:pPr>
    </w:p>
    <w:p w14:paraId="015913F7">
      <w:pPr>
        <w:pStyle w:val="81"/>
        <w:rPr>
          <w:rFonts w:hint="eastAsia" w:cs="宋体"/>
          <w:b/>
          <w:bCs/>
          <w:color w:val="auto"/>
          <w:sz w:val="28"/>
          <w:szCs w:val="28"/>
          <w:highlight w:val="none"/>
          <w:lang w:eastAsia="zh-CN"/>
        </w:rPr>
      </w:pPr>
    </w:p>
    <w:p w14:paraId="0DEADE17">
      <w:pPr>
        <w:pStyle w:val="81"/>
        <w:rPr>
          <w:rFonts w:hint="eastAsia" w:cs="宋体"/>
          <w:b/>
          <w:bCs/>
          <w:color w:val="auto"/>
          <w:sz w:val="28"/>
          <w:szCs w:val="28"/>
          <w:highlight w:val="none"/>
          <w:lang w:eastAsia="zh-CN"/>
        </w:rPr>
      </w:pPr>
    </w:p>
    <w:p w14:paraId="2793BC88">
      <w:pPr>
        <w:snapToGrid w:val="0"/>
        <w:spacing w:line="360" w:lineRule="auto"/>
        <w:jc w:val="left"/>
        <w:rPr>
          <w:rFonts w:hint="eastAsia" w:ascii="宋体" w:hAnsi="宋体" w:eastAsia="宋体"/>
          <w:b/>
          <w:color w:val="auto"/>
          <w:sz w:val="24"/>
          <w:szCs w:val="28"/>
          <w:highlight w:val="none"/>
        </w:rPr>
      </w:pPr>
    </w:p>
    <w:p w14:paraId="48C95589">
      <w:pPr>
        <w:snapToGrid w:val="0"/>
        <w:spacing w:line="360" w:lineRule="auto"/>
        <w:jc w:val="left"/>
        <w:rPr>
          <w:rFonts w:hint="eastAsia" w:ascii="宋体" w:hAnsi="宋体" w:eastAsia="宋体"/>
          <w:b/>
          <w:color w:val="auto"/>
          <w:sz w:val="24"/>
          <w:szCs w:val="28"/>
          <w:highlight w:val="none"/>
        </w:rPr>
      </w:pPr>
    </w:p>
    <w:p w14:paraId="6BF29F0E">
      <w:pPr>
        <w:snapToGrid w:val="0"/>
        <w:spacing w:line="360" w:lineRule="auto"/>
        <w:jc w:val="left"/>
        <w:rPr>
          <w:rFonts w:hint="eastAsia" w:ascii="宋体" w:hAnsi="宋体" w:eastAsia="宋体"/>
          <w:b/>
          <w:color w:val="auto"/>
          <w:sz w:val="24"/>
          <w:szCs w:val="28"/>
          <w:highlight w:val="none"/>
        </w:rPr>
      </w:pPr>
    </w:p>
    <w:p w14:paraId="48AFBC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5A41D3B">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525269B8">
      <w:pPr>
        <w:spacing w:line="360" w:lineRule="auto"/>
        <w:ind w:firstLine="6090" w:firstLineChars="2900"/>
        <w:rPr>
          <w:rFonts w:hint="eastAsia" w:ascii="宋体" w:eastAsia="宋体"/>
          <w:color w:val="auto"/>
          <w:highlight w:val="none"/>
          <w:lang w:eastAsia="zh-CN"/>
        </w:rPr>
      </w:pPr>
      <w:r>
        <w:rPr>
          <w:rFonts w:hint="eastAsia" w:ascii="宋体" w:hAnsi="宋体"/>
          <w:color w:val="auto"/>
          <w:highlight w:val="none"/>
        </w:rPr>
        <w:t>金额单位：人民币（元）</w:t>
      </w:r>
    </w:p>
    <w:tbl>
      <w:tblPr>
        <w:tblStyle w:val="61"/>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6716"/>
      </w:tblGrid>
      <w:tr w14:paraId="63A5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2105" w:type="dxa"/>
            <w:vMerge w:val="restart"/>
            <w:vAlign w:val="center"/>
          </w:tcPr>
          <w:p w14:paraId="60322434">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二包一年期保险</w:t>
            </w:r>
            <w:r>
              <w:rPr>
                <w:rFonts w:hint="eastAsia" w:hAnsi="宋体"/>
                <w:color w:val="auto"/>
                <w:sz w:val="24"/>
                <w:highlight w:val="none"/>
              </w:rPr>
              <w:t>最后报价</w:t>
            </w:r>
          </w:p>
        </w:tc>
        <w:tc>
          <w:tcPr>
            <w:tcW w:w="6716" w:type="dxa"/>
            <w:vAlign w:val="center"/>
          </w:tcPr>
          <w:p w14:paraId="17EC2D52">
            <w:pPr>
              <w:wordWrap w:val="0"/>
              <w:spacing w:line="400" w:lineRule="exact"/>
              <w:rPr>
                <w:rFonts w:hint="eastAsia" w:hAnsi="宋体"/>
                <w:color w:val="auto"/>
                <w:sz w:val="24"/>
                <w:highlight w:val="none"/>
              </w:rPr>
            </w:pPr>
          </w:p>
          <w:p w14:paraId="19BCB5CF">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C44F345">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2B71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2105" w:type="dxa"/>
            <w:vMerge w:val="continue"/>
            <w:vAlign w:val="center"/>
          </w:tcPr>
          <w:p w14:paraId="0EB53E8B">
            <w:pPr>
              <w:spacing w:line="400" w:lineRule="exact"/>
              <w:jc w:val="center"/>
              <w:rPr>
                <w:color w:val="auto"/>
                <w:sz w:val="24"/>
                <w:highlight w:val="none"/>
              </w:rPr>
            </w:pPr>
          </w:p>
        </w:tc>
        <w:tc>
          <w:tcPr>
            <w:tcW w:w="6716" w:type="dxa"/>
            <w:vAlign w:val="center"/>
          </w:tcPr>
          <w:p w14:paraId="0A459275">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7DB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821" w:type="dxa"/>
            <w:gridSpan w:val="2"/>
            <w:vAlign w:val="center"/>
          </w:tcPr>
          <w:p w14:paraId="34C73099">
            <w:pPr>
              <w:spacing w:line="400" w:lineRule="exact"/>
              <w:rPr>
                <w:rFonts w:hAnsi="宋体"/>
                <w:color w:val="auto"/>
                <w:sz w:val="24"/>
                <w:highlight w:val="none"/>
              </w:rPr>
            </w:pPr>
            <w:r>
              <w:rPr>
                <w:rFonts w:hint="eastAsia" w:hAnsi="宋体"/>
                <w:color w:val="auto"/>
                <w:sz w:val="24"/>
                <w:highlight w:val="none"/>
              </w:rPr>
              <w:t>备注：</w:t>
            </w:r>
          </w:p>
          <w:p w14:paraId="01DAD96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420AA07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4451022B">
      <w:pPr>
        <w:spacing w:line="360" w:lineRule="auto"/>
        <w:rPr>
          <w:rFonts w:ascii="宋体"/>
          <w:b/>
          <w:color w:val="auto"/>
          <w:sz w:val="24"/>
          <w:highlight w:val="none"/>
        </w:rPr>
      </w:pPr>
    </w:p>
    <w:p w14:paraId="342C9198">
      <w:pPr>
        <w:spacing w:line="360" w:lineRule="auto"/>
        <w:ind w:firstLine="3465" w:firstLineChars="1650"/>
        <w:rPr>
          <w:rFonts w:ascii="宋体"/>
          <w:color w:val="auto"/>
          <w:szCs w:val="21"/>
          <w:highlight w:val="none"/>
        </w:rPr>
      </w:pPr>
    </w:p>
    <w:p w14:paraId="2BB0D074">
      <w:pPr>
        <w:pStyle w:val="4"/>
        <w:rPr>
          <w:rFonts w:ascii="宋体"/>
          <w:color w:val="auto"/>
          <w:szCs w:val="21"/>
          <w:highlight w:val="none"/>
        </w:rPr>
      </w:pPr>
    </w:p>
    <w:p w14:paraId="378AEE5B">
      <w:pPr>
        <w:rPr>
          <w:rFonts w:ascii="宋体"/>
          <w:color w:val="auto"/>
          <w:szCs w:val="21"/>
          <w:highlight w:val="none"/>
        </w:rPr>
      </w:pPr>
    </w:p>
    <w:p w14:paraId="25069E53">
      <w:pPr>
        <w:pStyle w:val="4"/>
        <w:rPr>
          <w:color w:val="auto"/>
          <w:highlight w:val="none"/>
        </w:rPr>
      </w:pPr>
    </w:p>
    <w:p w14:paraId="2224EE57">
      <w:pPr>
        <w:pStyle w:val="4"/>
        <w:rPr>
          <w:rFonts w:ascii="宋体"/>
          <w:color w:val="auto"/>
          <w:szCs w:val="21"/>
          <w:highlight w:val="none"/>
        </w:rPr>
      </w:pPr>
    </w:p>
    <w:p w14:paraId="11A28478">
      <w:pPr>
        <w:rPr>
          <w:color w:val="auto"/>
          <w:highlight w:val="none"/>
        </w:rPr>
      </w:pPr>
    </w:p>
    <w:p w14:paraId="4092969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110D7D2">
      <w:pPr>
        <w:spacing w:line="360" w:lineRule="auto"/>
        <w:ind w:firstLine="3600" w:firstLineChars="1500"/>
        <w:rPr>
          <w:rFonts w:hint="eastAsia" w:ascii="宋体" w:hAnsi="宋体" w:eastAsia="宋体"/>
          <w:color w:val="auto"/>
          <w:sz w:val="24"/>
          <w:highlight w:val="none"/>
        </w:rPr>
      </w:pPr>
    </w:p>
    <w:p w14:paraId="070AFC1E">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53E2D04">
      <w:pPr>
        <w:pStyle w:val="81"/>
        <w:rPr>
          <w:rFonts w:hint="eastAsia" w:cs="宋体"/>
          <w:b/>
          <w:bCs/>
          <w:color w:val="auto"/>
          <w:sz w:val="28"/>
          <w:szCs w:val="28"/>
          <w:highlight w:val="none"/>
          <w:lang w:eastAsia="zh-CN"/>
        </w:rPr>
      </w:pPr>
    </w:p>
    <w:p w14:paraId="01FB12D7">
      <w:pPr>
        <w:pStyle w:val="3"/>
        <w:jc w:val="both"/>
        <w:rPr>
          <w:rFonts w:hint="eastAsia"/>
          <w:lang w:eastAsia="zh-CN"/>
        </w:rPr>
      </w:pPr>
    </w:p>
    <w:p w14:paraId="6F747F75">
      <w:pPr>
        <w:rPr>
          <w:rFonts w:hint="eastAsia"/>
          <w:lang w:eastAsia="zh-CN"/>
        </w:rPr>
      </w:pPr>
    </w:p>
    <w:p w14:paraId="4C99F4A4">
      <w:pPr>
        <w:rPr>
          <w:rFonts w:hint="eastAsia"/>
          <w:lang w:eastAsia="zh-CN"/>
        </w:rPr>
      </w:pPr>
    </w:p>
    <w:p w14:paraId="133052FB">
      <w:pPr>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B1E71AD">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2C2B48BA">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C7EC850">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8573"/>
      <w:bookmarkStart w:id="124" w:name="_Toc32741"/>
      <w:bookmarkStart w:id="125" w:name="_Toc2700"/>
      <w:bookmarkStart w:id="12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CFFA2695"/>
    <w:multiLevelType w:val="singleLevel"/>
    <w:tmpl w:val="CFFA2695"/>
    <w:lvl w:ilvl="0" w:tentative="0">
      <w:start w:val="1"/>
      <w:numFmt w:val="decimal"/>
      <w:suff w:val="nothing"/>
      <w:lvlText w:val="%1、"/>
      <w:lvlJc w:val="left"/>
    </w:lvl>
  </w:abstractNum>
  <w:abstractNum w:abstractNumId="3">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5">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5615A5"/>
    <w:rsid w:val="019127B6"/>
    <w:rsid w:val="023F42AD"/>
    <w:rsid w:val="02621563"/>
    <w:rsid w:val="02843BB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1C091C"/>
    <w:rsid w:val="17586E1A"/>
    <w:rsid w:val="177605B7"/>
    <w:rsid w:val="17D91376"/>
    <w:rsid w:val="180B783B"/>
    <w:rsid w:val="181F6915"/>
    <w:rsid w:val="1858180A"/>
    <w:rsid w:val="18D838A6"/>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0E0C61"/>
    <w:rsid w:val="533B1B4E"/>
    <w:rsid w:val="53560736"/>
    <w:rsid w:val="536E08E0"/>
    <w:rsid w:val="53A611ED"/>
    <w:rsid w:val="53D77AC9"/>
    <w:rsid w:val="54295E4B"/>
    <w:rsid w:val="542A026B"/>
    <w:rsid w:val="55452810"/>
    <w:rsid w:val="555358E8"/>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BAB292F"/>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892</Words>
  <Characters>935</Characters>
  <Lines>195</Lines>
  <Paragraphs>55</Paragraphs>
  <TotalTime>8</TotalTime>
  <ScaleCrop>false</ScaleCrop>
  <LinksUpToDate>false</LinksUpToDate>
  <CharactersWithSpaces>1025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2025-05-27T02:15:40Z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AF2EC998A2FD4F13B5C3B23370995057_13</vt:lpwstr>
  </property>
  <property fmtid="{D5CDD505-2E9C-101B-9397-08002B2CF9AE}" pid="4" name="KSOTemplateDocerSaveRecord">
    <vt:lpwstr>eyJoZGlkIjoiODVhNDljOTA3NGJiZTQwZDk2ZGY5NGRmMTgwNWM3NTQiLCJ1c2VySWQiOiIzMDI1ODcyMjYifQ==</vt:lpwstr>
  </property>
</Properties>
</file>