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39"/>
        <w:ind w:left="0" w:leftChars="0" w:firstLine="0" w:firstLineChars="0"/>
      </w:pPr>
    </w:p>
    <w:p w14:paraId="15303CE9">
      <w:pPr>
        <w:spacing w:line="360" w:lineRule="auto"/>
        <w:ind w:firstLine="482" w:firstLineChars="10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桐城师范高等专科学校电梯维保服务</w:t>
      </w:r>
    </w:p>
    <w:p w14:paraId="71EAB638">
      <w:pPr>
        <w:spacing w:line="360" w:lineRule="auto"/>
        <w:ind w:firstLine="482" w:firstLineChars="100"/>
        <w:jc w:val="center"/>
        <w:rPr>
          <w:rFonts w:hint="default" w:ascii="宋体" w:hAnsi="宋体" w:eastAsia="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采购项目</w:t>
      </w:r>
    </w:p>
    <w:p w14:paraId="012F5E32">
      <w:pPr>
        <w:pStyle w:val="50"/>
        <w:rPr>
          <w:rFonts w:hint="eastAsia"/>
          <w:color w:val="auto"/>
          <w:highlight w:val="none"/>
        </w:rPr>
      </w:pPr>
    </w:p>
    <w:p w14:paraId="16BD5BFA">
      <w:pPr>
        <w:spacing w:line="480" w:lineRule="exact"/>
        <w:rPr>
          <w:rFonts w:ascii="宋体"/>
          <w:color w:val="auto"/>
          <w:sz w:val="44"/>
          <w:szCs w:val="44"/>
          <w:highlight w:val="none"/>
        </w:rPr>
      </w:pPr>
    </w:p>
    <w:p w14:paraId="2E845CB9">
      <w:pPr>
        <w:pStyle w:val="5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TCSZCG(2026) 0</w:t>
      </w:r>
      <w:r>
        <w:rPr>
          <w:rFonts w:hint="eastAsia" w:ascii="宋体" w:hAnsi="宋体" w:cs="宋体"/>
          <w:b/>
          <w:bCs/>
          <w:color w:val="auto"/>
          <w:sz w:val="28"/>
          <w:szCs w:val="28"/>
          <w:highlight w:val="none"/>
          <w:lang w:val="en-US" w:eastAsia="zh-CN"/>
        </w:rPr>
        <w:t>20</w:t>
      </w:r>
      <w:r>
        <w:rPr>
          <w:rFonts w:hint="eastAsia" w:ascii="宋体" w:hAnsi="宋体" w:cs="宋体"/>
          <w:b/>
          <w:bCs/>
          <w:color w:val="auto"/>
          <w:sz w:val="28"/>
          <w:szCs w:val="28"/>
          <w:highlight w:val="none"/>
          <w:lang w:eastAsia="zh-CN"/>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hint="eastAsia" w:ascii="宋体" w:hAnsi="宋体" w:cs="仿宋_GB2312"/>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宏骏工程管理有限公司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0C2CB5DA">
      <w:pPr>
        <w:spacing w:line="480" w:lineRule="exact"/>
        <w:jc w:val="center"/>
        <w:rPr>
          <w:rFonts w:hint="eastAsia" w:ascii="黑体" w:hAnsi="黑体" w:eastAsia="黑体" w:cs="宋体"/>
          <w:b/>
          <w:color w:val="auto"/>
          <w:kern w:val="0"/>
          <w:sz w:val="32"/>
          <w:szCs w:val="32"/>
          <w:highlight w:val="none"/>
        </w:rPr>
        <w:sectPr>
          <w:headerReference r:id="rId5" w:type="default"/>
          <w:footerReference r:id="rId6"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2026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9 </w:t>
      </w:r>
      <w:r>
        <w:rPr>
          <w:rFonts w:hint="eastAsia" w:ascii="宋体" w:hAnsi="宋体" w:cs="仿宋_GB2312"/>
          <w:color w:val="auto"/>
          <w:sz w:val="32"/>
          <w:szCs w:val="32"/>
          <w:highlight w:val="none"/>
        </w:rPr>
        <w:t>月</w:t>
      </w:r>
    </w:p>
    <w:p w14:paraId="31037FE9">
      <w:pPr>
        <w:widowControl/>
        <w:jc w:val="left"/>
        <w:rPr>
          <w:rFonts w:ascii="宋体" w:hAnsi="宋体" w:cs="宋体"/>
          <w:b/>
          <w:color w:val="auto"/>
          <w:sz w:val="36"/>
          <w:szCs w:val="36"/>
          <w:highlight w:val="none"/>
          <w:lang w:val="zh-CN"/>
        </w:rPr>
      </w:pPr>
    </w:p>
    <w:p w14:paraId="7A426B6C">
      <w:pPr>
        <w:spacing w:line="480" w:lineRule="exact"/>
        <w:jc w:val="center"/>
        <w:rPr>
          <w:rFonts w:hint="eastAsia" w:ascii="宋体" w:hAnsi="宋体" w:cs="宋体"/>
          <w:b/>
          <w:color w:val="auto"/>
          <w:sz w:val="44"/>
          <w:szCs w:val="44"/>
          <w:highlight w:val="none"/>
          <w:lang w:val="zh-CN"/>
        </w:rPr>
      </w:pPr>
      <w:r>
        <w:rPr>
          <w:rFonts w:hint="eastAsia" w:ascii="宋体" w:hAnsi="宋体" w:cs="宋体"/>
          <w:b/>
          <w:color w:val="auto"/>
          <w:sz w:val="44"/>
          <w:szCs w:val="44"/>
          <w:highlight w:val="none"/>
          <w:lang w:val="zh-CN"/>
        </w:rPr>
        <w:t>目</w:t>
      </w:r>
      <w:r>
        <w:rPr>
          <w:rFonts w:ascii="宋体" w:hAnsi="宋体" w:cs="宋体"/>
          <w:b/>
          <w:color w:val="auto"/>
          <w:sz w:val="44"/>
          <w:szCs w:val="44"/>
          <w:highlight w:val="none"/>
        </w:rPr>
        <w:t xml:space="preserve">    </w:t>
      </w:r>
      <w:r>
        <w:rPr>
          <w:rFonts w:hint="eastAsia" w:ascii="宋体" w:hAnsi="宋体" w:cs="宋体"/>
          <w:b/>
          <w:color w:val="auto"/>
          <w:sz w:val="44"/>
          <w:szCs w:val="44"/>
          <w:highlight w:val="none"/>
          <w:lang w:val="zh-CN"/>
        </w:rPr>
        <w:t>录</w:t>
      </w:r>
    </w:p>
    <w:p w14:paraId="22B6B89C">
      <w:pPr>
        <w:pStyle w:val="50"/>
        <w:rPr>
          <w:color w:val="auto"/>
          <w:highlight w:val="none"/>
          <w:lang w:val="zh-CN"/>
        </w:rPr>
      </w:pPr>
    </w:p>
    <w:p w14:paraId="6F456B90">
      <w:pPr>
        <w:pStyle w:val="28"/>
        <w:tabs>
          <w:tab w:val="right" w:leader="dot" w:pos="9070"/>
        </w:tabs>
        <w:spacing w:line="360" w:lineRule="auto"/>
        <w:rPr>
          <w:color w:val="auto"/>
          <w:sz w:val="28"/>
          <w:szCs w:val="24"/>
          <w:highlight w:val="none"/>
        </w:rPr>
      </w:pPr>
      <w:bookmarkStart w:id="0" w:name="_Toc54941328"/>
      <w:bookmarkStart w:id="1" w:name="_Toc23467"/>
      <w:bookmarkStart w:id="2" w:name="_Toc21464"/>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谈判邀请</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p>
    <w:p w14:paraId="25820FA5">
      <w:pPr>
        <w:pStyle w:val="28"/>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rPr>
        <w:t>供应商</w:t>
      </w:r>
      <w:r>
        <w:rPr>
          <w:rFonts w:ascii="Arial" w:hAnsi="Arial"/>
          <w:color w:val="auto"/>
          <w:kern w:val="2"/>
          <w:sz w:val="28"/>
          <w:szCs w:val="44"/>
          <w:highlight w:val="none"/>
        </w:rPr>
        <w:t>须知</w:t>
      </w:r>
      <w:r>
        <w:rPr>
          <w:color w:val="auto"/>
          <w:sz w:val="28"/>
          <w:szCs w:val="24"/>
          <w:highlight w:val="none"/>
        </w:rPr>
        <w:tab/>
      </w:r>
      <w:r>
        <w:rPr>
          <w:rFonts w:hint="eastAsia"/>
          <w:color w:val="auto"/>
          <w:sz w:val="28"/>
          <w:szCs w:val="24"/>
          <w:highlight w:val="none"/>
          <w:lang w:val="en-US" w:eastAsia="zh-CN"/>
        </w:rPr>
        <w:t>6</w:t>
      </w:r>
      <w:r>
        <w:rPr>
          <w:color w:val="auto"/>
          <w:sz w:val="28"/>
          <w:szCs w:val="40"/>
          <w:highlight w:val="none"/>
        </w:rPr>
        <w:fldChar w:fldCharType="end"/>
      </w:r>
    </w:p>
    <w:p w14:paraId="4473F23C">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4</w:t>
      </w:r>
    </w:p>
    <w:p w14:paraId="4DE78E20">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1</w:t>
      </w:r>
      <w:r>
        <w:rPr>
          <w:color w:val="auto"/>
          <w:sz w:val="28"/>
          <w:szCs w:val="40"/>
          <w:highlight w:val="none"/>
        </w:rPr>
        <w:fldChar w:fldCharType="end"/>
      </w:r>
      <w:r>
        <w:rPr>
          <w:rFonts w:hint="eastAsia"/>
          <w:color w:val="auto"/>
          <w:sz w:val="28"/>
          <w:szCs w:val="40"/>
          <w:highlight w:val="none"/>
          <w:lang w:val="en-US" w:eastAsia="zh-CN"/>
        </w:rPr>
        <w:t>8</w:t>
      </w:r>
    </w:p>
    <w:p w14:paraId="7143EA37">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1</w:t>
      </w:r>
    </w:p>
    <w:p w14:paraId="1B92A2FD">
      <w:pPr>
        <w:pStyle w:val="28"/>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_Toc1812 \h </w:instrText>
      </w:r>
      <w:r>
        <w:rPr>
          <w:color w:val="auto"/>
          <w:sz w:val="28"/>
          <w:szCs w:val="24"/>
          <w:highlight w:val="none"/>
        </w:rPr>
        <w:fldChar w:fldCharType="separate"/>
      </w:r>
      <w:r>
        <w:rPr>
          <w:rFonts w:hint="eastAsia"/>
          <w:color w:val="auto"/>
          <w:sz w:val="28"/>
          <w:szCs w:val="24"/>
          <w:highlight w:val="none"/>
          <w:lang w:val="en-US" w:eastAsia="zh-CN"/>
        </w:rPr>
        <w:t>25</w:t>
      </w:r>
      <w:r>
        <w:rPr>
          <w:color w:val="auto"/>
          <w:sz w:val="28"/>
          <w:szCs w:val="24"/>
          <w:highlight w:val="none"/>
        </w:rPr>
        <w:fldChar w:fldCharType="end"/>
      </w:r>
      <w:r>
        <w:rPr>
          <w:color w:val="auto"/>
          <w:sz w:val="28"/>
          <w:szCs w:val="40"/>
          <w:highlight w:val="none"/>
        </w:rPr>
        <w:fldChar w:fldCharType="end"/>
      </w:r>
    </w:p>
    <w:p w14:paraId="78B5310B">
      <w:pPr>
        <w:pStyle w:val="28"/>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第七章  政府采购供应商询问函和质疑函范本</w:t>
      </w:r>
      <w:r>
        <w:rPr>
          <w:color w:val="auto"/>
          <w:sz w:val="28"/>
          <w:szCs w:val="24"/>
          <w:highlight w:val="none"/>
        </w:rPr>
        <w:tab/>
      </w:r>
      <w:r>
        <w:rPr>
          <w:rFonts w:hint="eastAsia"/>
          <w:color w:val="auto"/>
          <w:sz w:val="28"/>
          <w:szCs w:val="24"/>
          <w:highlight w:val="none"/>
          <w:lang w:val="en-US" w:eastAsia="zh-CN"/>
        </w:rPr>
        <w:t>3</w:t>
      </w:r>
      <w:r>
        <w:rPr>
          <w:color w:val="auto"/>
          <w:sz w:val="28"/>
          <w:szCs w:val="40"/>
          <w:highlight w:val="none"/>
        </w:rPr>
        <w:fldChar w:fldCharType="end"/>
      </w:r>
      <w:r>
        <w:rPr>
          <w:rFonts w:hint="eastAsia"/>
          <w:color w:val="auto"/>
          <w:sz w:val="28"/>
          <w:szCs w:val="40"/>
          <w:highlight w:val="none"/>
          <w:lang w:val="en-US" w:eastAsia="zh-CN"/>
        </w:rPr>
        <w:t>4</w:t>
      </w:r>
    </w:p>
    <w:p w14:paraId="6989B8C6">
      <w:pPr>
        <w:pStyle w:val="19"/>
        <w:tabs>
          <w:tab w:val="right" w:leader="dot" w:pos="9060"/>
        </w:tabs>
        <w:spacing w:line="360" w:lineRule="auto"/>
        <w:rPr>
          <w:color w:val="auto"/>
          <w:szCs w:val="21"/>
          <w:highlight w:val="none"/>
        </w:rPr>
        <w:sectPr>
          <w:footerReference r:id="rId7" w:type="default"/>
          <w:pgSz w:w="11906" w:h="16838"/>
          <w:pgMar w:top="1418" w:right="1418" w:bottom="1418" w:left="1418" w:header="851" w:footer="680" w:gutter="0"/>
          <w:pgBorders>
            <w:top w:val="none" w:sz="0" w:space="0"/>
            <w:left w:val="none" w:sz="0" w:space="0"/>
            <w:bottom w:val="none" w:sz="0" w:space="0"/>
            <w:right w:val="none" w:sz="0" w:space="0"/>
          </w:pgBorders>
          <w:pgNumType w:fmt="decimal" w:start="1"/>
          <w:cols w:space="720" w:num="1"/>
          <w:docGrid w:linePitch="290" w:charSpace="0"/>
        </w:sectPr>
      </w:pPr>
      <w:r>
        <w:rPr>
          <w:color w:val="auto"/>
          <w:sz w:val="28"/>
          <w:szCs w:val="40"/>
          <w:highlight w:val="none"/>
        </w:rPr>
        <w:fldChar w:fldCharType="end"/>
      </w:r>
      <w:bookmarkStart w:id="4" w:name="_Toc7432"/>
    </w:p>
    <w:p w14:paraId="35D3DCA8">
      <w:pPr>
        <w:pStyle w:val="19"/>
        <w:tabs>
          <w:tab w:val="right" w:leader="dot" w:pos="9060"/>
        </w:tabs>
        <w:spacing w:line="360" w:lineRule="auto"/>
        <w:jc w:val="center"/>
        <w:rPr>
          <w:rFonts w:hint="eastAsia" w:ascii="Arial" w:hAnsi="Arial" w:eastAsia="宋体"/>
          <w:b/>
          <w:bCs/>
          <w:i w:val="0"/>
          <w:iCs/>
          <w:color w:val="auto"/>
          <w:sz w:val="32"/>
          <w:szCs w:val="32"/>
          <w:highlight w:val="none"/>
          <w:lang w:eastAsia="zh-CN"/>
        </w:rPr>
      </w:pPr>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eastAsia="zh-CN"/>
        </w:rPr>
        <w:t>谈判</w:t>
      </w:r>
      <w:r>
        <w:rPr>
          <w:rFonts w:hint="eastAsia"/>
          <w:b/>
          <w:bCs/>
          <w:i w:val="0"/>
          <w:iCs/>
          <w:color w:val="auto"/>
          <w:sz w:val="32"/>
          <w:szCs w:val="32"/>
          <w:highlight w:val="none"/>
        </w:rPr>
        <w:t>邀请</w:t>
      </w:r>
    </w:p>
    <w:p w14:paraId="2B113C03">
      <w:pPr>
        <w:spacing w:line="360" w:lineRule="auto"/>
        <w:ind w:firstLine="435"/>
        <w:outlineLvl w:val="1"/>
        <w:rPr>
          <w:rFonts w:ascii="宋体" w:hAnsi="宋体" w:eastAsia="宋体"/>
          <w:b/>
          <w:bCs/>
          <w:color w:val="auto"/>
          <w:sz w:val="24"/>
          <w:szCs w:val="18"/>
          <w:highlight w:val="none"/>
        </w:rPr>
      </w:pPr>
      <w:bookmarkStart w:id="5" w:name="_Toc7340"/>
      <w:bookmarkStart w:id="6" w:name="_Toc24610"/>
      <w:bookmarkStart w:id="7" w:name="_Toc21967"/>
      <w:bookmarkStart w:id="128" w:name="_GoBack"/>
      <w:r>
        <w:rPr>
          <w:rFonts w:hint="eastAsia" w:ascii="宋体" w:hAnsi="宋体" w:eastAsia="宋体"/>
          <w:b/>
          <w:bCs/>
          <w:color w:val="auto"/>
          <w:sz w:val="24"/>
          <w:szCs w:val="18"/>
          <w:highlight w:val="none"/>
        </w:rPr>
        <w:t>一、项目名称及内容</w:t>
      </w:r>
      <w:bookmarkEnd w:id="5"/>
      <w:bookmarkEnd w:id="6"/>
      <w:bookmarkEnd w:id="7"/>
    </w:p>
    <w:p w14:paraId="77A85968">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rPr>
        <w:t>1.项目</w:t>
      </w:r>
      <w:r>
        <w:rPr>
          <w:rFonts w:hint="eastAsia" w:asciiTheme="minorEastAsia" w:hAnsiTheme="minorEastAsia" w:eastAsiaTheme="minorEastAsia"/>
          <w:color w:val="auto"/>
          <w:sz w:val="24"/>
          <w:highlight w:val="none"/>
          <w:u w:val="none"/>
        </w:rPr>
        <w:t>编号：</w:t>
      </w:r>
      <w:r>
        <w:rPr>
          <w:rFonts w:hint="eastAsia" w:ascii="宋体" w:hAnsi="宋体" w:eastAsia="宋体"/>
          <w:color w:val="auto"/>
          <w:sz w:val="24"/>
          <w:szCs w:val="18"/>
          <w:highlight w:val="none"/>
          <w:u w:val="none"/>
        </w:rPr>
        <w:t xml:space="preserve"> </w:t>
      </w:r>
      <w:r>
        <w:rPr>
          <w:rFonts w:hint="eastAsia" w:ascii="宋体" w:hAnsi="宋体"/>
          <w:color w:val="auto"/>
          <w:sz w:val="24"/>
          <w:szCs w:val="18"/>
          <w:highlight w:val="none"/>
          <w:u w:val="none"/>
          <w:lang w:eastAsia="zh-CN"/>
        </w:rPr>
        <w:t>TCSZCG(2026) 0</w:t>
      </w:r>
      <w:r>
        <w:rPr>
          <w:rFonts w:hint="eastAsia" w:ascii="宋体" w:hAnsi="宋体"/>
          <w:color w:val="auto"/>
          <w:sz w:val="24"/>
          <w:szCs w:val="18"/>
          <w:highlight w:val="none"/>
          <w:u w:val="none"/>
          <w:lang w:val="en-US" w:eastAsia="zh-CN"/>
        </w:rPr>
        <w:t>20</w:t>
      </w:r>
      <w:r>
        <w:rPr>
          <w:rFonts w:hint="eastAsia" w:ascii="宋体" w:hAnsi="宋体"/>
          <w:color w:val="auto"/>
          <w:sz w:val="24"/>
          <w:szCs w:val="18"/>
          <w:highlight w:val="none"/>
          <w:u w:val="none"/>
          <w:lang w:eastAsia="zh-CN"/>
        </w:rPr>
        <w:t>号</w:t>
      </w:r>
    </w:p>
    <w:p w14:paraId="7258789B">
      <w:pPr>
        <w:autoSpaceDE w:val="0"/>
        <w:autoSpaceDN w:val="0"/>
        <w:adjustRightInd w:val="0"/>
        <w:spacing w:line="360" w:lineRule="auto"/>
        <w:ind w:firstLine="436" w:firstLineChars="182"/>
        <w:jc w:val="left"/>
        <w:rPr>
          <w:rFonts w:hint="eastAsia" w:ascii="宋体" w:hAnsi="宋体" w:eastAsia="宋体"/>
          <w:color w:val="auto"/>
          <w:sz w:val="24"/>
          <w:szCs w:val="18"/>
          <w:highlight w:val="none"/>
          <w:u w:val="none"/>
          <w:lang w:eastAsia="zh-CN"/>
        </w:rPr>
      </w:pPr>
      <w:r>
        <w:rPr>
          <w:rFonts w:hint="eastAsia" w:asciiTheme="minorEastAsia" w:hAnsiTheme="minorEastAsia" w:eastAsiaTheme="minorEastAsia"/>
          <w:color w:val="auto"/>
          <w:sz w:val="24"/>
          <w:highlight w:val="none"/>
          <w:u w:val="none"/>
        </w:rPr>
        <w:t>2.项目名称：</w:t>
      </w:r>
      <w:r>
        <w:rPr>
          <w:rFonts w:hint="eastAsia" w:ascii="宋体" w:hAnsi="宋体" w:eastAsia="宋体"/>
          <w:color w:val="auto"/>
          <w:sz w:val="24"/>
          <w:szCs w:val="18"/>
          <w:highlight w:val="none"/>
          <w:u w:val="none"/>
        </w:rPr>
        <w:t xml:space="preserve"> </w:t>
      </w:r>
      <w:r>
        <w:rPr>
          <w:rFonts w:hint="eastAsia" w:ascii="宋体" w:hAnsi="宋体"/>
          <w:color w:val="auto"/>
          <w:sz w:val="24"/>
          <w:szCs w:val="18"/>
          <w:highlight w:val="none"/>
          <w:u w:val="none"/>
          <w:lang w:eastAsia="zh-CN"/>
        </w:rPr>
        <w:t>桐城师范高等专科学校</w:t>
      </w:r>
      <w:r>
        <w:rPr>
          <w:rFonts w:hint="eastAsia" w:ascii="宋体" w:hAnsi="宋体"/>
          <w:color w:val="auto"/>
          <w:sz w:val="24"/>
          <w:szCs w:val="18"/>
          <w:highlight w:val="none"/>
          <w:u w:val="none"/>
          <w:lang w:val="en-US" w:eastAsia="zh-CN"/>
        </w:rPr>
        <w:t>电梯维保</w:t>
      </w:r>
      <w:r>
        <w:rPr>
          <w:rFonts w:hint="eastAsia" w:ascii="宋体" w:hAnsi="宋体"/>
          <w:color w:val="auto"/>
          <w:sz w:val="24"/>
          <w:szCs w:val="18"/>
          <w:highlight w:val="none"/>
          <w:u w:val="none"/>
          <w:lang w:eastAsia="zh-CN"/>
        </w:rPr>
        <w:t>服务采购项目</w:t>
      </w:r>
    </w:p>
    <w:p w14:paraId="17633DD1">
      <w:pPr>
        <w:spacing w:line="360" w:lineRule="auto"/>
        <w:ind w:firstLine="435"/>
        <w:rPr>
          <w:rFonts w:hint="default" w:eastAsia="宋体" w:asciiTheme="minorEastAsia" w:hAnsi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3.预算金额：</w:t>
      </w:r>
      <w:r>
        <w:rPr>
          <w:rFonts w:hint="eastAsia" w:asciiTheme="minorEastAsia" w:hAnsiTheme="minorEastAsia" w:eastAsiaTheme="minorEastAsia"/>
          <w:color w:val="auto"/>
          <w:sz w:val="24"/>
          <w:highlight w:val="none"/>
          <w:u w:val="none"/>
          <w:lang w:val="en-US" w:eastAsia="zh-CN"/>
        </w:rPr>
        <w:t xml:space="preserve"> </w:t>
      </w:r>
      <w:r>
        <w:rPr>
          <w:rFonts w:hint="eastAsia" w:ascii="宋体" w:hAnsi="宋体"/>
          <w:color w:val="auto"/>
          <w:sz w:val="24"/>
          <w:szCs w:val="18"/>
          <w:highlight w:val="none"/>
          <w:u w:val="none"/>
          <w:lang w:val="en-US" w:eastAsia="zh-CN"/>
        </w:rPr>
        <w:t>35000</w:t>
      </w:r>
      <w:r>
        <w:rPr>
          <w:rFonts w:hint="eastAsia" w:ascii="宋体" w:hAnsi="宋体"/>
          <w:color w:val="auto"/>
          <w:sz w:val="24"/>
          <w:szCs w:val="18"/>
          <w:highlight w:val="none"/>
          <w:u w:val="none"/>
          <w:lang w:eastAsia="zh-CN"/>
        </w:rPr>
        <w:t>元/年</w:t>
      </w:r>
    </w:p>
    <w:p w14:paraId="6BA2AA9B">
      <w:pPr>
        <w:spacing w:line="360" w:lineRule="auto"/>
        <w:ind w:firstLine="435"/>
        <w:rPr>
          <w:rFonts w:hint="eastAsia" w:asciiTheme="minorEastAsia" w:hAnsiTheme="minorEastAsia" w:eastAsiaTheme="minorEastAsia"/>
          <w:color w:val="auto"/>
          <w:sz w:val="24"/>
          <w:highlight w:val="none"/>
          <w:u w:val="none"/>
          <w:lang w:eastAsia="zh-CN"/>
        </w:rPr>
      </w:pPr>
      <w:r>
        <w:rPr>
          <w:rFonts w:hint="eastAsia" w:asciiTheme="minorEastAsia" w:hAnsiTheme="minorEastAsia" w:eastAsiaTheme="minorEastAsia"/>
          <w:color w:val="auto"/>
          <w:sz w:val="24"/>
          <w:highlight w:val="none"/>
          <w:u w:val="none"/>
        </w:rPr>
        <w:t>4.</w:t>
      </w:r>
      <w:r>
        <w:rPr>
          <w:rFonts w:hint="eastAsia" w:asciiTheme="minorEastAsia" w:hAnsiTheme="minorEastAsia" w:eastAsiaTheme="minorEastAsia"/>
          <w:color w:val="auto"/>
          <w:sz w:val="24"/>
          <w:highlight w:val="none"/>
          <w:u w:val="none"/>
          <w:lang w:eastAsia="zh-CN"/>
        </w:rPr>
        <w:t>最高</w:t>
      </w:r>
      <w:r>
        <w:rPr>
          <w:rFonts w:hint="eastAsia" w:asciiTheme="minorEastAsia" w:hAnsiTheme="minorEastAsia" w:eastAsiaTheme="minorEastAsia"/>
          <w:color w:val="auto"/>
          <w:sz w:val="24"/>
          <w:highlight w:val="none"/>
          <w:u w:val="none"/>
          <w:lang w:val="en-US" w:eastAsia="zh-CN"/>
        </w:rPr>
        <w:t>限价</w:t>
      </w:r>
      <w:r>
        <w:rPr>
          <w:rFonts w:hint="eastAsia" w:asciiTheme="minorEastAsia" w:hAnsiTheme="minorEastAsia" w:eastAsiaTheme="minorEastAsia"/>
          <w:color w:val="auto"/>
          <w:sz w:val="24"/>
          <w:highlight w:val="none"/>
          <w:u w:val="none"/>
          <w:lang w:eastAsia="zh-CN"/>
        </w:rPr>
        <w:t>：</w:t>
      </w:r>
      <w:r>
        <w:rPr>
          <w:rFonts w:hint="eastAsia" w:asciiTheme="minorEastAsia" w:hAnsiTheme="minorEastAsia" w:eastAsiaTheme="minorEastAsia"/>
          <w:color w:val="auto"/>
          <w:sz w:val="24"/>
          <w:highlight w:val="none"/>
          <w:u w:val="none"/>
          <w:lang w:val="en-US" w:eastAsia="zh-CN"/>
        </w:rPr>
        <w:t xml:space="preserve"> </w:t>
      </w:r>
      <w:r>
        <w:rPr>
          <w:rFonts w:hint="eastAsia" w:ascii="宋体" w:hAnsi="宋体"/>
          <w:color w:val="auto"/>
          <w:sz w:val="24"/>
          <w:szCs w:val="18"/>
          <w:highlight w:val="none"/>
          <w:u w:val="none"/>
          <w:lang w:val="en-US" w:eastAsia="zh-CN"/>
        </w:rPr>
        <w:t>35000</w:t>
      </w:r>
      <w:r>
        <w:rPr>
          <w:rFonts w:hint="eastAsia" w:ascii="宋体" w:hAnsi="宋体"/>
          <w:color w:val="auto"/>
          <w:sz w:val="24"/>
          <w:szCs w:val="18"/>
          <w:highlight w:val="none"/>
          <w:u w:val="none"/>
          <w:lang w:eastAsia="zh-CN"/>
        </w:rPr>
        <w:t>元/年</w:t>
      </w:r>
    </w:p>
    <w:p w14:paraId="1D8C8006">
      <w:pPr>
        <w:spacing w:line="360" w:lineRule="auto"/>
        <w:ind w:firstLine="435"/>
        <w:rPr>
          <w:rFonts w:hint="eastAsia" w:asciiTheme="minorEastAsia" w:hAnsiTheme="minorEastAsia" w:eastAsiaTheme="minorEastAsia"/>
          <w:color w:val="auto"/>
          <w:sz w:val="24"/>
          <w:highlight w:val="none"/>
          <w:u w:val="none"/>
        </w:rPr>
      </w:pPr>
      <w:r>
        <w:rPr>
          <w:rFonts w:hint="eastAsia" w:asciiTheme="minorEastAsia" w:hAnsiTheme="minorEastAsia" w:eastAsiaTheme="minorEastAsia"/>
          <w:color w:val="auto"/>
          <w:sz w:val="24"/>
          <w:highlight w:val="none"/>
          <w:u w:val="none"/>
        </w:rPr>
        <w:t>5.采购需求：</w:t>
      </w:r>
      <w:r>
        <w:rPr>
          <w:rFonts w:hint="eastAsia" w:ascii="宋体" w:hAnsi="宋体" w:eastAsia="宋体"/>
          <w:color w:val="auto"/>
          <w:sz w:val="24"/>
          <w:szCs w:val="18"/>
          <w:highlight w:val="none"/>
          <w:u w:val="none"/>
        </w:rPr>
        <w:t xml:space="preserve"> </w:t>
      </w:r>
      <w:r>
        <w:rPr>
          <w:rFonts w:hint="eastAsia" w:ascii="宋体" w:hAnsi="宋体"/>
          <w:color w:val="auto"/>
          <w:sz w:val="24"/>
          <w:szCs w:val="18"/>
          <w:highlight w:val="none"/>
          <w:u w:val="none"/>
          <w:lang w:eastAsia="zh-CN"/>
        </w:rPr>
        <w:t>桐城师范高等专科学校</w:t>
      </w:r>
      <w:r>
        <w:rPr>
          <w:rFonts w:hint="eastAsia" w:ascii="宋体" w:hAnsi="宋体"/>
          <w:color w:val="auto"/>
          <w:sz w:val="24"/>
          <w:szCs w:val="18"/>
          <w:highlight w:val="none"/>
          <w:u w:val="none"/>
          <w:lang w:val="en-US" w:eastAsia="zh-CN"/>
        </w:rPr>
        <w:t>电梯维保</w:t>
      </w:r>
      <w:r>
        <w:rPr>
          <w:rFonts w:hint="eastAsia" w:ascii="宋体" w:hAnsi="宋体"/>
          <w:color w:val="auto"/>
          <w:sz w:val="24"/>
          <w:szCs w:val="18"/>
          <w:highlight w:val="none"/>
          <w:u w:val="none"/>
          <w:lang w:eastAsia="zh-CN"/>
        </w:rPr>
        <w:t>服务采购项目</w:t>
      </w:r>
      <w:r>
        <w:rPr>
          <w:rFonts w:hint="eastAsia" w:ascii="宋体" w:hAnsi="宋体" w:eastAsia="宋体"/>
          <w:color w:val="auto"/>
          <w:sz w:val="24"/>
          <w:szCs w:val="18"/>
          <w:highlight w:val="none"/>
          <w:u w:val="none"/>
          <w:lang w:val="en-US" w:eastAsia="zh-CN"/>
        </w:rPr>
        <w:t>，详见采购需求</w:t>
      </w:r>
    </w:p>
    <w:p w14:paraId="7714AF65">
      <w:pPr>
        <w:spacing w:line="360" w:lineRule="auto"/>
        <w:ind w:firstLine="435"/>
        <w:rPr>
          <w:rFonts w:hint="default" w:asciiTheme="minorEastAsia" w:hAnsiTheme="minorEastAsia" w:eastAsiaTheme="minorEastAsia"/>
          <w:color w:val="auto"/>
          <w:sz w:val="24"/>
          <w:highlight w:val="none"/>
          <w:u w:val="none"/>
          <w:lang w:val="en-US" w:eastAsia="zh-CN"/>
        </w:rPr>
      </w:pPr>
      <w:r>
        <w:rPr>
          <w:rFonts w:hint="eastAsia" w:asciiTheme="minorEastAsia" w:hAnsiTheme="minorEastAsia" w:eastAsiaTheme="minorEastAsia"/>
          <w:color w:val="auto"/>
          <w:sz w:val="24"/>
          <w:highlight w:val="none"/>
          <w:u w:val="none"/>
        </w:rPr>
        <w:t>6.合同履行期限：</w:t>
      </w:r>
      <w:r>
        <w:rPr>
          <w:rFonts w:hint="eastAsia" w:asciiTheme="minorEastAsia" w:hAnsiTheme="minorEastAsia" w:eastAsiaTheme="minorEastAsia"/>
          <w:color w:val="auto"/>
          <w:sz w:val="24"/>
          <w:highlight w:val="none"/>
          <w:u w:val="none"/>
          <w:lang w:val="en-US" w:eastAsia="zh-CN"/>
        </w:rPr>
        <w:t>三</w:t>
      </w:r>
      <w:r>
        <w:rPr>
          <w:rFonts w:hint="eastAsia" w:asciiTheme="minorEastAsia" w:hAnsiTheme="minorEastAsia" w:eastAsiaTheme="minorEastAsia"/>
          <w:color w:val="auto"/>
          <w:sz w:val="24"/>
          <w:highlight w:val="none"/>
          <w:u w:val="none"/>
        </w:rPr>
        <w:t>年</w:t>
      </w:r>
      <w:r>
        <w:rPr>
          <w:rFonts w:hint="eastAsia" w:asciiTheme="minorEastAsia" w:hAnsiTheme="minorEastAsia" w:eastAsiaTheme="minorEastAsia"/>
          <w:color w:val="auto"/>
          <w:sz w:val="24"/>
          <w:highlight w:val="none"/>
          <w:u w:val="none"/>
          <w:lang w:eastAsia="zh-CN"/>
        </w:rPr>
        <w:t>，</w:t>
      </w:r>
      <w:r>
        <w:rPr>
          <w:rFonts w:hint="eastAsia" w:asciiTheme="minorEastAsia" w:hAnsiTheme="minorEastAsia" w:eastAsiaTheme="minorEastAsia"/>
          <w:color w:val="auto"/>
          <w:sz w:val="24"/>
          <w:highlight w:val="none"/>
          <w:u w:val="none"/>
          <w:lang w:val="en-US" w:eastAsia="zh-CN"/>
        </w:rPr>
        <w:t>合同一年一签</w:t>
      </w:r>
    </w:p>
    <w:p w14:paraId="42AE4A25">
      <w:pPr>
        <w:autoSpaceDE w:val="0"/>
        <w:autoSpaceDN w:val="0"/>
        <w:adjustRightInd w:val="0"/>
        <w:spacing w:line="360" w:lineRule="auto"/>
        <w:ind w:firstLine="436" w:firstLineChars="182"/>
        <w:jc w:val="left"/>
        <w:rPr>
          <w:rFonts w:ascii="宋体" w:hAnsi="宋体" w:eastAsia="宋体"/>
          <w:color w:val="auto"/>
          <w:sz w:val="24"/>
          <w:szCs w:val="18"/>
          <w:highlight w:val="none"/>
          <w:u w:val="none"/>
        </w:rPr>
      </w:pPr>
      <w:r>
        <w:rPr>
          <w:rFonts w:hint="eastAsia" w:asciiTheme="minorEastAsia" w:hAnsiTheme="minorEastAsia" w:eastAsiaTheme="minorEastAsia"/>
          <w:color w:val="auto"/>
          <w:sz w:val="24"/>
          <w:highlight w:val="none"/>
          <w:u w:val="none"/>
        </w:rPr>
        <w:t>7.本项目</w:t>
      </w:r>
      <w:r>
        <w:rPr>
          <w:rFonts w:hint="eastAsia" w:asciiTheme="minorEastAsia" w:hAnsiTheme="minorEastAsia" w:eastAsiaTheme="minorEastAsia"/>
          <w:color w:val="auto"/>
          <w:sz w:val="24"/>
          <w:highlight w:val="none"/>
          <w:u w:val="none"/>
          <w:lang w:val="en-US" w:eastAsia="zh-CN"/>
        </w:rPr>
        <w:t>不</w:t>
      </w:r>
      <w:r>
        <w:rPr>
          <w:rFonts w:hint="eastAsia" w:asciiTheme="minorEastAsia" w:hAnsiTheme="minorEastAsia" w:eastAsiaTheme="minorEastAsia"/>
          <w:color w:val="auto"/>
          <w:sz w:val="24"/>
          <w:highlight w:val="none"/>
          <w:u w:val="none"/>
        </w:rPr>
        <w:t>接受联合体。</w:t>
      </w:r>
    </w:p>
    <w:p w14:paraId="75FF8771">
      <w:pPr>
        <w:spacing w:line="360" w:lineRule="auto"/>
        <w:ind w:firstLine="435"/>
        <w:outlineLvl w:val="1"/>
        <w:rPr>
          <w:rFonts w:ascii="宋体" w:hAnsi="宋体" w:eastAsia="宋体"/>
          <w:b/>
          <w:bCs/>
          <w:color w:val="auto"/>
          <w:sz w:val="24"/>
          <w:szCs w:val="18"/>
          <w:highlight w:val="none"/>
          <w:u w:val="none"/>
        </w:rPr>
      </w:pPr>
      <w:bookmarkStart w:id="8" w:name="_Toc10226"/>
      <w:bookmarkStart w:id="9" w:name="_Toc5862"/>
      <w:bookmarkStart w:id="10" w:name="_Toc9766"/>
      <w:r>
        <w:rPr>
          <w:rFonts w:hint="eastAsia" w:ascii="宋体" w:hAnsi="宋体" w:eastAsia="宋体"/>
          <w:b/>
          <w:bCs/>
          <w:color w:val="auto"/>
          <w:sz w:val="24"/>
          <w:szCs w:val="18"/>
          <w:highlight w:val="none"/>
          <w:u w:val="none"/>
        </w:rPr>
        <w:t>二</w:t>
      </w:r>
      <w:r>
        <w:rPr>
          <w:rFonts w:hint="eastAsia" w:asciiTheme="minorEastAsia" w:hAnsiTheme="minorEastAsia" w:eastAsiaTheme="minorEastAsia"/>
          <w:b/>
          <w:color w:val="auto"/>
          <w:sz w:val="24"/>
          <w:highlight w:val="none"/>
          <w:u w:val="none"/>
        </w:rPr>
        <w:t>、</w:t>
      </w:r>
      <w:bookmarkEnd w:id="8"/>
      <w:r>
        <w:rPr>
          <w:rFonts w:hint="eastAsia" w:ascii="宋体" w:hAnsi="宋体" w:eastAsia="宋体"/>
          <w:b/>
          <w:bCs/>
          <w:color w:val="auto"/>
          <w:sz w:val="24"/>
          <w:szCs w:val="18"/>
          <w:highlight w:val="none"/>
          <w:u w:val="none"/>
        </w:rPr>
        <w:t>申请人的资格要求</w:t>
      </w:r>
      <w:bookmarkEnd w:id="9"/>
      <w:bookmarkEnd w:id="10"/>
    </w:p>
    <w:p w14:paraId="75095689">
      <w:pPr>
        <w:spacing w:line="360" w:lineRule="auto"/>
        <w:ind w:firstLine="435"/>
        <w:rPr>
          <w:rFonts w:hint="eastAsia" w:cs="Times New Roman" w:asciiTheme="minorEastAsia" w:hAnsiTheme="minorEastAsia" w:eastAsiaTheme="minorEastAsia"/>
          <w:color w:val="auto"/>
          <w:sz w:val="24"/>
          <w:highlight w:val="none"/>
          <w:u w:val="none"/>
        </w:rPr>
      </w:pPr>
      <w:bookmarkStart w:id="11" w:name="_Toc4607"/>
      <w:bookmarkStart w:id="12" w:name="_Toc31607"/>
      <w:bookmarkStart w:id="13" w:name="_Toc31469"/>
      <w:r>
        <w:rPr>
          <w:rFonts w:hint="eastAsia" w:cs="Times New Roman" w:asciiTheme="minorEastAsia" w:hAnsiTheme="minorEastAsia" w:eastAsiaTheme="minorEastAsia"/>
          <w:color w:val="auto"/>
          <w:sz w:val="24"/>
          <w:highlight w:val="none"/>
          <w:u w:val="none"/>
        </w:rPr>
        <w:t>1.满足《中华人民共和国政府采购法》第二十二条规定；</w:t>
      </w:r>
    </w:p>
    <w:p w14:paraId="144AD806">
      <w:pPr>
        <w:spacing w:line="360" w:lineRule="auto"/>
        <w:ind w:firstLine="435"/>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2.落实政府采购政策需满足的资格要求：/；</w:t>
      </w:r>
    </w:p>
    <w:p w14:paraId="453F4928">
      <w:pPr>
        <w:spacing w:line="360" w:lineRule="auto"/>
        <w:ind w:firstLine="435"/>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3.本项目的特定资格要求：</w:t>
      </w:r>
    </w:p>
    <w:p w14:paraId="309B7775">
      <w:pPr>
        <w:spacing w:line="360" w:lineRule="auto"/>
        <w:ind w:firstLine="736" w:firstLineChars="307"/>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3.1具有有效的人民共和国特种设备生产许可证，许可项目为电梯安装（含修理）（影印件需加盖投标单位公章）；</w:t>
      </w:r>
    </w:p>
    <w:p w14:paraId="5D99BF5C">
      <w:pPr>
        <w:spacing w:line="360" w:lineRule="auto"/>
        <w:ind w:firstLine="736" w:firstLineChars="307"/>
        <w:rPr>
          <w:rFonts w:hint="eastAsia"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3.2配备技术负责人1名、驻场维修人员2名，所有人员须具有《特种设备作业人员证书（电梯作业）》（电梯维修证T）及投标单位为其缴纳的近6个月以来任意一个月的社保证明材料。</w:t>
      </w:r>
    </w:p>
    <w:p w14:paraId="55233045">
      <w:pPr>
        <w:spacing w:line="360" w:lineRule="auto"/>
        <w:ind w:firstLine="736" w:firstLineChars="307"/>
        <w:rPr>
          <w:rFonts w:hint="default" w:cs="Times New Roman" w:asciiTheme="minorEastAsia" w:hAnsiTheme="minorEastAsia" w:eastAsiaTheme="minorEastAsia"/>
          <w:color w:val="auto"/>
          <w:sz w:val="24"/>
          <w:highlight w:val="none"/>
          <w:u w:val="none"/>
          <w:lang w:val="en-US" w:eastAsia="zh-CN"/>
        </w:rPr>
      </w:pPr>
      <w:r>
        <w:rPr>
          <w:rFonts w:hint="eastAsia" w:cs="Times New Roman" w:asciiTheme="minorEastAsia" w:hAnsiTheme="minorEastAsia" w:eastAsiaTheme="minorEastAsia"/>
          <w:color w:val="auto"/>
          <w:sz w:val="24"/>
          <w:highlight w:val="none"/>
          <w:u w:val="none"/>
          <w:lang w:val="en-US" w:eastAsia="zh-CN"/>
        </w:rPr>
        <w:t>3.3投标单位需提供近3年以来，至少1个电梯维保项目业绩，以合同影印件签订时间为准，含正在履约的项目。</w:t>
      </w:r>
    </w:p>
    <w:p w14:paraId="3BA13CD6">
      <w:pPr>
        <w:spacing w:line="360" w:lineRule="auto"/>
        <w:ind w:firstLine="435"/>
        <w:rPr>
          <w:rFonts w:ascii="宋体" w:hAnsi="宋体" w:eastAsia="宋体"/>
          <w:b/>
          <w:bCs/>
          <w:color w:val="auto"/>
          <w:sz w:val="24"/>
          <w:szCs w:val="18"/>
          <w:highlight w:val="none"/>
          <w:u w:val="none"/>
        </w:rPr>
      </w:pPr>
      <w:r>
        <w:rPr>
          <w:rFonts w:hint="eastAsia" w:ascii="宋体" w:hAnsi="宋体" w:eastAsia="宋体"/>
          <w:b/>
          <w:bCs/>
          <w:color w:val="auto"/>
          <w:sz w:val="24"/>
          <w:szCs w:val="18"/>
          <w:highlight w:val="none"/>
          <w:u w:val="none"/>
        </w:rPr>
        <w:t>三</w:t>
      </w:r>
      <w:r>
        <w:rPr>
          <w:rFonts w:hint="eastAsia" w:asciiTheme="minorEastAsia" w:hAnsiTheme="minorEastAsia" w:eastAsiaTheme="minorEastAsia"/>
          <w:b/>
          <w:color w:val="auto"/>
          <w:sz w:val="24"/>
          <w:highlight w:val="none"/>
          <w:u w:val="none"/>
        </w:rPr>
        <w:t>、</w:t>
      </w:r>
      <w:bookmarkEnd w:id="11"/>
      <w:r>
        <w:rPr>
          <w:rFonts w:hint="eastAsia" w:asciiTheme="minorEastAsia" w:hAnsiTheme="minorEastAsia" w:eastAsiaTheme="minorEastAsia"/>
          <w:b/>
          <w:color w:val="auto"/>
          <w:sz w:val="24"/>
          <w:highlight w:val="none"/>
          <w:u w:val="none"/>
        </w:rPr>
        <w:t>获取采购文件</w:t>
      </w:r>
      <w:bookmarkEnd w:id="12"/>
      <w:bookmarkEnd w:id="13"/>
    </w:p>
    <w:p w14:paraId="3DE512F2">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i/>
          <w:iCs/>
          <w:sz w:val="24"/>
          <w:szCs w:val="24"/>
          <w:highlight w:val="none"/>
          <w:u w:val="none"/>
        </w:rPr>
      </w:pPr>
      <w:r>
        <w:rPr>
          <w:rFonts w:hint="eastAsia" w:asciiTheme="minorEastAsia" w:hAnsiTheme="minorEastAsia" w:eastAsiaTheme="minorEastAsia" w:cstheme="minorEastAsia"/>
          <w:sz w:val="24"/>
          <w:szCs w:val="24"/>
          <w:highlight w:val="none"/>
          <w:u w:val="none"/>
        </w:rPr>
        <w:t>时间：</w:t>
      </w:r>
      <w:r>
        <w:rPr>
          <w:rFonts w:hint="eastAsia" w:asciiTheme="minorEastAsia" w:hAnsiTheme="minorEastAsia" w:eastAsiaTheme="minorEastAsia" w:cstheme="minorEastAsia"/>
          <w:sz w:val="24"/>
          <w:szCs w:val="24"/>
          <w:highlight w:val="none"/>
          <w:u w:val="none"/>
          <w:lang w:eastAsia="zh-CN"/>
        </w:rPr>
        <w:t xml:space="preserve">2026年 </w:t>
      </w:r>
      <w:r>
        <w:rPr>
          <w:rFonts w:hint="eastAsia" w:asciiTheme="minorEastAsia" w:hAnsiTheme="minorEastAsia" w:eastAsiaTheme="minorEastAsia" w:cstheme="minorEastAsia"/>
          <w:sz w:val="24"/>
          <w:szCs w:val="24"/>
          <w:highlight w:val="none"/>
          <w:u w:val="none"/>
          <w:lang w:val="en-US" w:eastAsia="zh-CN"/>
        </w:rPr>
        <w:t>10</w:t>
      </w:r>
      <w:r>
        <w:rPr>
          <w:rFonts w:hint="eastAsia" w:asciiTheme="minorEastAsia" w:hAnsiTheme="minorEastAsia" w:eastAsiaTheme="minorEastAsia" w:cstheme="minorEastAsia"/>
          <w:sz w:val="24"/>
          <w:szCs w:val="24"/>
          <w:highlight w:val="none"/>
          <w:u w:val="none"/>
          <w:lang w:eastAsia="zh-CN"/>
        </w:rPr>
        <w:t xml:space="preserve"> 月 </w:t>
      </w:r>
      <w:r>
        <w:rPr>
          <w:rFonts w:hint="eastAsia" w:asciiTheme="minorEastAsia" w:hAnsiTheme="minorEastAsia" w:eastAsiaTheme="minorEastAsia" w:cstheme="minorEastAsia"/>
          <w:sz w:val="24"/>
          <w:szCs w:val="24"/>
          <w:highlight w:val="none"/>
          <w:u w:val="none"/>
          <w:lang w:val="en-US" w:eastAsia="zh-CN"/>
        </w:rPr>
        <w:t>10</w:t>
      </w:r>
      <w:r>
        <w:rPr>
          <w:rFonts w:hint="eastAsia" w:asciiTheme="minorEastAsia" w:hAnsiTheme="minorEastAsia" w:eastAsiaTheme="minorEastAsia" w:cstheme="minorEastAsia"/>
          <w:sz w:val="24"/>
          <w:szCs w:val="24"/>
          <w:highlight w:val="none"/>
          <w:u w:val="none"/>
          <w:lang w:eastAsia="zh-CN"/>
        </w:rPr>
        <w:t xml:space="preserve"> 日</w:t>
      </w:r>
      <w:r>
        <w:rPr>
          <w:rFonts w:hint="eastAsia" w:asciiTheme="minorEastAsia" w:hAnsiTheme="minorEastAsia" w:eastAsiaTheme="minorEastAsia" w:cstheme="minorEastAsia"/>
          <w:sz w:val="24"/>
          <w:szCs w:val="24"/>
          <w:highlight w:val="none"/>
          <w:u w:val="non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none"/>
          <w:lang w:val="en-US" w:eastAsia="zh-CN"/>
        </w:rPr>
        <w:t xml:space="preserve"> 0</w:t>
      </w:r>
      <w:r>
        <w:rPr>
          <w:rFonts w:hint="eastAsia" w:asciiTheme="minorEastAsia" w:hAnsiTheme="minorEastAsia" w:eastAsiaTheme="minorEastAsia" w:cstheme="minorEastAsia"/>
          <w:sz w:val="24"/>
          <w:szCs w:val="24"/>
          <w:highlight w:val="none"/>
          <w:u w:val="none"/>
        </w:rPr>
        <w:t>0</w:t>
      </w: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none"/>
        </w:rPr>
        <w:t>分前（北京时间）</w:t>
      </w:r>
    </w:p>
    <w:p w14:paraId="63649A3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地点：桐城师范高等专科学校官网</w:t>
      </w:r>
    </w:p>
    <w:p w14:paraId="1DFE9CFB">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方式：</w:t>
      </w:r>
      <w:r>
        <w:rPr>
          <w:rFonts w:hint="eastAsia" w:ascii="宋体" w:hAnsi="宋体" w:eastAsia="宋体"/>
          <w:color w:val="auto"/>
          <w:sz w:val="24"/>
          <w:szCs w:val="18"/>
          <w:highlight w:val="none"/>
          <w:u w:val="none"/>
          <w:lang w:val="en-US" w:eastAsia="zh-CN"/>
        </w:rPr>
        <w:t>桐城师范高等专科学校官网和安庆市公共资源交易服务网“限额以下项目”自行下载</w:t>
      </w:r>
    </w:p>
    <w:p w14:paraId="25763F3E">
      <w:pPr>
        <w:spacing w:line="360" w:lineRule="auto"/>
        <w:ind w:firstLine="435"/>
        <w:outlineLvl w:val="1"/>
        <w:rPr>
          <w:rFonts w:ascii="宋体" w:hAnsi="宋体" w:eastAsia="宋体"/>
          <w:b/>
          <w:bCs/>
          <w:color w:val="auto"/>
          <w:sz w:val="24"/>
          <w:szCs w:val="18"/>
          <w:highlight w:val="none"/>
          <w:u w:val="none"/>
        </w:rPr>
      </w:pPr>
      <w:bookmarkStart w:id="14" w:name="_Toc19753"/>
      <w:bookmarkStart w:id="15" w:name="_Toc346"/>
      <w:bookmarkStart w:id="16" w:name="_Toc16674"/>
      <w:r>
        <w:rPr>
          <w:rFonts w:hint="eastAsia" w:ascii="宋体" w:hAnsi="宋体" w:eastAsia="宋体"/>
          <w:b/>
          <w:bCs/>
          <w:color w:val="auto"/>
          <w:sz w:val="24"/>
          <w:szCs w:val="18"/>
          <w:highlight w:val="none"/>
          <w:u w:val="none"/>
        </w:rPr>
        <w:t>四</w:t>
      </w:r>
      <w:r>
        <w:rPr>
          <w:rFonts w:hint="eastAsia" w:asciiTheme="minorEastAsia" w:hAnsiTheme="minorEastAsia" w:eastAsiaTheme="minorEastAsia"/>
          <w:b/>
          <w:color w:val="auto"/>
          <w:sz w:val="24"/>
          <w:highlight w:val="none"/>
          <w:u w:val="none"/>
        </w:rPr>
        <w:t>、</w:t>
      </w:r>
      <w:bookmarkEnd w:id="14"/>
      <w:r>
        <w:rPr>
          <w:rFonts w:hint="eastAsia" w:ascii="宋体" w:hAnsi="宋体" w:eastAsia="宋体"/>
          <w:b/>
          <w:bCs/>
          <w:color w:val="auto"/>
          <w:sz w:val="24"/>
          <w:highlight w:val="none"/>
          <w:u w:val="none"/>
        </w:rPr>
        <w:t>响应文件提交</w:t>
      </w:r>
      <w:bookmarkEnd w:id="15"/>
      <w:bookmarkEnd w:id="16"/>
    </w:p>
    <w:p w14:paraId="625C94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截止时间：</w:t>
      </w:r>
      <w:r>
        <w:rPr>
          <w:rFonts w:hint="eastAsia" w:asciiTheme="minorEastAsia" w:hAnsiTheme="minorEastAsia" w:eastAsiaTheme="minorEastAsia" w:cstheme="minorEastAsia"/>
          <w:sz w:val="24"/>
          <w:szCs w:val="24"/>
          <w:highlight w:val="none"/>
          <w:u w:val="none"/>
          <w:lang w:eastAsia="zh-CN"/>
        </w:rPr>
        <w:t xml:space="preserve">2026年 </w:t>
      </w:r>
      <w:r>
        <w:rPr>
          <w:rFonts w:hint="eastAsia" w:asciiTheme="minorEastAsia" w:hAnsiTheme="minorEastAsia" w:eastAsiaTheme="minorEastAsia" w:cstheme="minorEastAsia"/>
          <w:sz w:val="24"/>
          <w:szCs w:val="24"/>
          <w:highlight w:val="none"/>
          <w:u w:val="none"/>
          <w:lang w:val="en-US" w:eastAsia="zh-CN"/>
        </w:rPr>
        <w:t>10</w:t>
      </w:r>
      <w:r>
        <w:rPr>
          <w:rFonts w:hint="eastAsia" w:asciiTheme="minorEastAsia" w:hAnsiTheme="minorEastAsia" w:eastAsiaTheme="minorEastAsia" w:cstheme="minorEastAsia"/>
          <w:sz w:val="24"/>
          <w:szCs w:val="24"/>
          <w:highlight w:val="none"/>
          <w:u w:val="none"/>
          <w:lang w:eastAsia="zh-CN"/>
        </w:rPr>
        <w:t xml:space="preserve"> 月 </w:t>
      </w:r>
      <w:r>
        <w:rPr>
          <w:rFonts w:hint="eastAsia" w:asciiTheme="minorEastAsia" w:hAnsiTheme="minorEastAsia" w:eastAsiaTheme="minorEastAsia" w:cstheme="minorEastAsia"/>
          <w:sz w:val="24"/>
          <w:szCs w:val="24"/>
          <w:highlight w:val="none"/>
          <w:u w:val="none"/>
          <w:lang w:val="en-US" w:eastAsia="zh-CN"/>
        </w:rPr>
        <w:t>10</w:t>
      </w:r>
      <w:r>
        <w:rPr>
          <w:rFonts w:hint="eastAsia" w:asciiTheme="minorEastAsia" w:hAnsiTheme="minorEastAsia" w:eastAsiaTheme="minorEastAsia" w:cstheme="minorEastAsia"/>
          <w:sz w:val="24"/>
          <w:szCs w:val="24"/>
          <w:highlight w:val="none"/>
          <w:u w:val="none"/>
          <w:lang w:eastAsia="zh-CN"/>
        </w:rPr>
        <w:t xml:space="preserve"> 日</w:t>
      </w:r>
      <w:r>
        <w:rPr>
          <w:rFonts w:hint="eastAsia" w:asciiTheme="minorEastAsia" w:hAnsiTheme="minorEastAsia" w:eastAsiaTheme="minorEastAsia" w:cstheme="minorEastAsia"/>
          <w:sz w:val="24"/>
          <w:szCs w:val="24"/>
          <w:highlight w:val="none"/>
          <w:u w:val="non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none"/>
          <w:lang w:val="en-US" w:eastAsia="zh-CN"/>
        </w:rPr>
        <w:t xml:space="preserve"> 0</w:t>
      </w:r>
      <w:r>
        <w:rPr>
          <w:rFonts w:hint="eastAsia" w:asciiTheme="minorEastAsia" w:hAnsiTheme="minorEastAsia" w:eastAsiaTheme="minorEastAsia" w:cstheme="minorEastAsia"/>
          <w:sz w:val="24"/>
          <w:szCs w:val="24"/>
          <w:highlight w:val="none"/>
          <w:u w:val="none"/>
        </w:rPr>
        <w:t>0</w:t>
      </w: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none"/>
        </w:rPr>
        <w:t>分前</w:t>
      </w:r>
      <w:r>
        <w:rPr>
          <w:rFonts w:hint="eastAsia" w:asciiTheme="minorEastAsia" w:hAnsiTheme="minorEastAsia" w:eastAsiaTheme="minorEastAsia" w:cstheme="minorEastAsia"/>
          <w:bCs/>
          <w:sz w:val="24"/>
          <w:szCs w:val="24"/>
          <w:highlight w:val="none"/>
          <w:u w:val="none"/>
        </w:rPr>
        <w:t>（北京时间）</w:t>
      </w:r>
    </w:p>
    <w:p w14:paraId="5AC9A5E2">
      <w:pPr>
        <w:spacing w:line="360" w:lineRule="auto"/>
        <w:ind w:firstLine="435"/>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w:t>
      </w:r>
      <w:r>
        <w:rPr>
          <w:rFonts w:hint="eastAsia" w:ascii="宋体" w:hAnsi="宋体" w:eastAsia="宋体"/>
          <w:color w:val="auto"/>
          <w:sz w:val="24"/>
          <w:szCs w:val="18"/>
          <w:highlight w:val="none"/>
          <w:u w:val="none"/>
          <w:lang w:val="en-US" w:eastAsia="zh-CN"/>
        </w:rPr>
        <w:t>纸质响应文件提交至桐城市文昌街道徐庄安置点4期6幢114-115</w:t>
      </w:r>
    </w:p>
    <w:p w14:paraId="7DDE2D61">
      <w:pPr>
        <w:spacing w:line="360" w:lineRule="auto"/>
        <w:ind w:firstLine="435"/>
        <w:outlineLvl w:val="1"/>
        <w:rPr>
          <w:rFonts w:ascii="宋体" w:hAnsi="宋体" w:eastAsia="宋体"/>
          <w:b/>
          <w:bCs/>
          <w:color w:val="auto"/>
          <w:sz w:val="24"/>
          <w:szCs w:val="18"/>
          <w:highlight w:val="none"/>
          <w:u w:val="none"/>
        </w:rPr>
      </w:pPr>
      <w:bookmarkStart w:id="17" w:name="_Toc8953"/>
      <w:bookmarkStart w:id="18" w:name="_Toc10846"/>
      <w:bookmarkStart w:id="19" w:name="_Toc7959"/>
      <w:r>
        <w:rPr>
          <w:rFonts w:hint="eastAsia" w:ascii="宋体" w:hAnsi="宋体" w:eastAsia="宋体"/>
          <w:b/>
          <w:bCs/>
          <w:color w:val="auto"/>
          <w:sz w:val="24"/>
          <w:szCs w:val="18"/>
          <w:highlight w:val="none"/>
          <w:u w:val="none"/>
        </w:rPr>
        <w:t>五</w:t>
      </w:r>
      <w:r>
        <w:rPr>
          <w:rFonts w:hint="eastAsia" w:asciiTheme="minorEastAsia" w:hAnsiTheme="minorEastAsia" w:eastAsiaTheme="minorEastAsia"/>
          <w:b/>
          <w:color w:val="auto"/>
          <w:sz w:val="24"/>
          <w:highlight w:val="none"/>
          <w:u w:val="none"/>
        </w:rPr>
        <w:t>、</w:t>
      </w:r>
      <w:bookmarkEnd w:id="17"/>
      <w:r>
        <w:rPr>
          <w:rFonts w:hint="eastAsia" w:ascii="宋体" w:hAnsi="宋体" w:eastAsia="宋体"/>
          <w:b/>
          <w:bCs/>
          <w:color w:val="auto"/>
          <w:sz w:val="24"/>
          <w:highlight w:val="none"/>
          <w:u w:val="none"/>
        </w:rPr>
        <w:t>开启</w:t>
      </w:r>
      <w:bookmarkEnd w:id="18"/>
      <w:bookmarkEnd w:id="19"/>
    </w:p>
    <w:p w14:paraId="56F1EB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时间：</w:t>
      </w:r>
      <w:r>
        <w:rPr>
          <w:rFonts w:hint="eastAsia" w:asciiTheme="minorEastAsia" w:hAnsiTheme="minorEastAsia" w:eastAsiaTheme="minorEastAsia" w:cstheme="minorEastAsia"/>
          <w:sz w:val="24"/>
          <w:szCs w:val="24"/>
          <w:highlight w:val="none"/>
          <w:u w:val="none"/>
          <w:lang w:eastAsia="zh-CN"/>
        </w:rPr>
        <w:t xml:space="preserve">2026年 </w:t>
      </w:r>
      <w:r>
        <w:rPr>
          <w:rFonts w:hint="eastAsia" w:asciiTheme="minorEastAsia" w:hAnsiTheme="minorEastAsia" w:eastAsiaTheme="minorEastAsia" w:cstheme="minorEastAsia"/>
          <w:sz w:val="24"/>
          <w:szCs w:val="24"/>
          <w:highlight w:val="none"/>
          <w:u w:val="none"/>
          <w:lang w:val="en-US" w:eastAsia="zh-CN"/>
        </w:rPr>
        <w:t>10</w:t>
      </w:r>
      <w:r>
        <w:rPr>
          <w:rFonts w:hint="eastAsia" w:asciiTheme="minorEastAsia" w:hAnsiTheme="minorEastAsia" w:eastAsiaTheme="minorEastAsia" w:cstheme="minorEastAsia"/>
          <w:sz w:val="24"/>
          <w:szCs w:val="24"/>
          <w:highlight w:val="none"/>
          <w:u w:val="none"/>
          <w:lang w:eastAsia="zh-CN"/>
        </w:rPr>
        <w:t xml:space="preserve"> 月 </w:t>
      </w:r>
      <w:r>
        <w:rPr>
          <w:rFonts w:hint="eastAsia" w:asciiTheme="minorEastAsia" w:hAnsiTheme="minorEastAsia" w:eastAsiaTheme="minorEastAsia" w:cstheme="minorEastAsia"/>
          <w:sz w:val="24"/>
          <w:szCs w:val="24"/>
          <w:highlight w:val="none"/>
          <w:u w:val="none"/>
          <w:lang w:val="en-US" w:eastAsia="zh-CN"/>
        </w:rPr>
        <w:t xml:space="preserve">10 </w:t>
      </w:r>
      <w:r>
        <w:rPr>
          <w:rFonts w:hint="eastAsia" w:asciiTheme="minorEastAsia" w:hAnsiTheme="minorEastAsia" w:eastAsiaTheme="minorEastAsia" w:cstheme="minorEastAsia"/>
          <w:sz w:val="24"/>
          <w:szCs w:val="24"/>
          <w:highlight w:val="none"/>
          <w:u w:val="none"/>
          <w:lang w:eastAsia="zh-CN"/>
        </w:rPr>
        <w:t>日</w:t>
      </w:r>
      <w:r>
        <w:rPr>
          <w:rFonts w:hint="eastAsia" w:asciiTheme="minorEastAsia" w:hAnsiTheme="minorEastAsia" w:eastAsiaTheme="minorEastAsia" w:cstheme="minorEastAsia"/>
          <w:sz w:val="24"/>
          <w:szCs w:val="24"/>
          <w:highlight w:val="none"/>
          <w:u w:val="none"/>
          <w:lang w:val="en-US" w:eastAsia="zh-CN"/>
        </w:rPr>
        <w:t xml:space="preserve"> 09 </w:t>
      </w:r>
      <w:r>
        <w:rPr>
          <w:rFonts w:hint="eastAsia" w:asciiTheme="minorEastAsia" w:hAnsiTheme="minorEastAsia" w:eastAsiaTheme="minorEastAsia" w:cstheme="minorEastAsia"/>
          <w:sz w:val="24"/>
          <w:szCs w:val="24"/>
          <w:highlight w:val="none"/>
          <w:u w:val="none"/>
        </w:rPr>
        <w:t>时</w:t>
      </w:r>
      <w:r>
        <w:rPr>
          <w:rFonts w:hint="eastAsia" w:asciiTheme="minorEastAsia" w:hAnsiTheme="minorEastAsia" w:eastAsiaTheme="minorEastAsia" w:cstheme="minorEastAsia"/>
          <w:sz w:val="24"/>
          <w:szCs w:val="24"/>
          <w:highlight w:val="none"/>
          <w:u w:val="none"/>
          <w:lang w:val="en-US" w:eastAsia="zh-CN"/>
        </w:rPr>
        <w:t xml:space="preserve"> 0</w:t>
      </w:r>
      <w:r>
        <w:rPr>
          <w:rFonts w:hint="eastAsia" w:asciiTheme="minorEastAsia" w:hAnsiTheme="minorEastAsia" w:eastAsiaTheme="minorEastAsia" w:cstheme="minorEastAsia"/>
          <w:sz w:val="24"/>
          <w:szCs w:val="24"/>
          <w:highlight w:val="none"/>
          <w:u w:val="none"/>
        </w:rPr>
        <w:t>0</w:t>
      </w:r>
      <w:r>
        <w:rPr>
          <w:rFonts w:hint="eastAsia" w:asciiTheme="minorEastAsia" w:hAnsiTheme="minorEastAsia" w:eastAsiaTheme="minorEastAsia" w:cstheme="minorEastAsia"/>
          <w:sz w:val="24"/>
          <w:szCs w:val="24"/>
          <w:highlight w:val="none"/>
          <w:u w:val="none"/>
          <w:lang w:val="en-US" w:eastAsia="zh-CN"/>
        </w:rPr>
        <w:t xml:space="preserve"> </w:t>
      </w:r>
      <w:r>
        <w:rPr>
          <w:rFonts w:hint="eastAsia" w:asciiTheme="minorEastAsia" w:hAnsiTheme="minorEastAsia" w:eastAsiaTheme="minorEastAsia" w:cstheme="minorEastAsia"/>
          <w:sz w:val="24"/>
          <w:szCs w:val="24"/>
          <w:highlight w:val="none"/>
          <w:u w:val="none"/>
        </w:rPr>
        <w:t>分</w:t>
      </w:r>
      <w:r>
        <w:rPr>
          <w:rFonts w:hint="eastAsia" w:asciiTheme="minorEastAsia" w:hAnsiTheme="minorEastAsia" w:eastAsiaTheme="minorEastAsia" w:cstheme="minorEastAsia"/>
          <w:bCs/>
          <w:sz w:val="24"/>
          <w:szCs w:val="24"/>
          <w:highlight w:val="none"/>
          <w:u w:val="none"/>
        </w:rPr>
        <w:t>（北京时间）</w:t>
      </w:r>
    </w:p>
    <w:p w14:paraId="5D701E8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olor w:val="auto"/>
          <w:sz w:val="24"/>
          <w:szCs w:val="18"/>
          <w:highlight w:val="none"/>
          <w:u w:val="none"/>
        </w:rPr>
      </w:pPr>
      <w:r>
        <w:rPr>
          <w:rFonts w:hint="eastAsia" w:asciiTheme="minorEastAsia" w:hAnsiTheme="minorEastAsia" w:eastAsiaTheme="minorEastAsia" w:cstheme="minorEastAsia"/>
          <w:sz w:val="24"/>
          <w:szCs w:val="24"/>
          <w:highlight w:val="none"/>
          <w:u w:val="none"/>
        </w:rPr>
        <w:t>地点：</w:t>
      </w:r>
      <w:r>
        <w:rPr>
          <w:rFonts w:hint="eastAsia" w:ascii="宋体" w:hAnsi="宋体" w:eastAsia="宋体"/>
          <w:color w:val="auto"/>
          <w:sz w:val="24"/>
          <w:szCs w:val="18"/>
          <w:highlight w:val="none"/>
          <w:u w:val="none"/>
          <w:lang w:val="en-US" w:eastAsia="zh-CN"/>
        </w:rPr>
        <w:t>桐城市文昌街道徐庄安置点4期6幢114-115</w:t>
      </w:r>
    </w:p>
    <w:p w14:paraId="20B1FAE1">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u w:val="none"/>
        </w:rPr>
      </w:pPr>
      <w:bookmarkStart w:id="20" w:name="_Toc16124"/>
      <w:bookmarkStart w:id="21" w:name="_Toc14575"/>
      <w:bookmarkStart w:id="22" w:name="_Toc16203"/>
      <w:r>
        <w:rPr>
          <w:rFonts w:hint="eastAsia" w:ascii="宋体" w:hAnsi="宋体" w:eastAsia="宋体"/>
          <w:b/>
          <w:bCs/>
          <w:color w:val="auto"/>
          <w:sz w:val="24"/>
          <w:szCs w:val="18"/>
          <w:highlight w:val="none"/>
          <w:u w:val="none"/>
          <w:lang w:val="en-US" w:eastAsia="zh-CN"/>
        </w:rPr>
        <w:t>六</w:t>
      </w:r>
      <w:r>
        <w:rPr>
          <w:rFonts w:hint="eastAsia" w:ascii="宋体" w:hAnsi="宋体" w:eastAsia="宋体"/>
          <w:b/>
          <w:bCs/>
          <w:color w:val="auto"/>
          <w:sz w:val="24"/>
          <w:szCs w:val="18"/>
          <w:highlight w:val="none"/>
          <w:u w:val="none"/>
        </w:rPr>
        <w:t>、公告期限</w:t>
      </w:r>
      <w:bookmarkEnd w:id="20"/>
      <w:bookmarkEnd w:id="21"/>
    </w:p>
    <w:p w14:paraId="32F58A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自本公告发布之日起3个工作日。</w:t>
      </w:r>
    </w:p>
    <w:p w14:paraId="681463C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u w:val="none"/>
        </w:rPr>
      </w:pPr>
      <w:bookmarkStart w:id="23" w:name="_Toc35393795"/>
      <w:bookmarkStart w:id="24" w:name="_Toc21264"/>
      <w:bookmarkStart w:id="25" w:name="_Toc16366"/>
      <w:bookmarkStart w:id="26" w:name="_Toc35393626"/>
      <w:r>
        <w:rPr>
          <w:rFonts w:hint="eastAsia" w:ascii="宋体" w:hAnsi="宋体" w:eastAsia="宋体"/>
          <w:b/>
          <w:bCs/>
          <w:color w:val="auto"/>
          <w:sz w:val="24"/>
          <w:szCs w:val="18"/>
          <w:highlight w:val="none"/>
          <w:u w:val="none"/>
          <w:lang w:val="en-US" w:eastAsia="zh-CN"/>
        </w:rPr>
        <w:t>七</w:t>
      </w:r>
      <w:r>
        <w:rPr>
          <w:rFonts w:hint="eastAsia" w:ascii="宋体" w:hAnsi="宋体" w:eastAsia="宋体"/>
          <w:b/>
          <w:bCs/>
          <w:color w:val="auto"/>
          <w:sz w:val="24"/>
          <w:szCs w:val="18"/>
          <w:highlight w:val="none"/>
          <w:u w:val="none"/>
        </w:rPr>
        <w:t>、其他补充事宜</w:t>
      </w:r>
      <w:bookmarkEnd w:id="23"/>
      <w:bookmarkEnd w:id="24"/>
      <w:bookmarkEnd w:id="25"/>
      <w:bookmarkEnd w:id="26"/>
    </w:p>
    <w:p w14:paraId="264F4CFD">
      <w:pPr>
        <w:spacing w:line="360" w:lineRule="auto"/>
        <w:ind w:firstLine="435"/>
        <w:outlineLvl w:val="1"/>
        <w:rPr>
          <w:rFonts w:hint="eastAsia" w:ascii="宋体" w:hAnsi="宋体" w:eastAsia="宋体"/>
          <w:b w:val="0"/>
          <w:bCs w:val="0"/>
          <w:color w:val="auto"/>
          <w:sz w:val="24"/>
          <w:szCs w:val="18"/>
          <w:highlight w:val="none"/>
          <w:u w:val="none"/>
          <w:lang w:val="en-US" w:eastAsia="zh-CN"/>
        </w:rPr>
      </w:pPr>
      <w:bookmarkStart w:id="27" w:name="_Toc24122"/>
      <w:bookmarkStart w:id="28" w:name="_Toc7755"/>
      <w:r>
        <w:rPr>
          <w:rFonts w:hint="eastAsia" w:ascii="宋体" w:hAnsi="宋体" w:eastAsia="宋体"/>
          <w:b w:val="0"/>
          <w:bCs w:val="0"/>
          <w:color w:val="auto"/>
          <w:sz w:val="24"/>
          <w:szCs w:val="18"/>
          <w:highlight w:val="none"/>
          <w:u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61C7E2AF">
      <w:pPr>
        <w:spacing w:line="360" w:lineRule="auto"/>
        <w:ind w:firstLine="435"/>
        <w:outlineLvl w:val="1"/>
        <w:rPr>
          <w:rFonts w:hint="eastAsia" w:ascii="宋体" w:hAnsi="宋体" w:eastAsia="宋体"/>
          <w:b w:val="0"/>
          <w:bCs w:val="0"/>
          <w:color w:val="auto"/>
          <w:sz w:val="24"/>
          <w:szCs w:val="18"/>
          <w:highlight w:val="none"/>
          <w:u w:val="none"/>
          <w:lang w:val="en-US" w:eastAsia="zh-CN"/>
        </w:rPr>
      </w:pPr>
      <w:r>
        <w:rPr>
          <w:rFonts w:hint="eastAsia" w:ascii="宋体" w:hAnsi="宋体" w:eastAsia="宋体"/>
          <w:b w:val="0"/>
          <w:bCs w:val="0"/>
          <w:color w:val="auto"/>
          <w:sz w:val="24"/>
          <w:szCs w:val="18"/>
          <w:highlight w:val="none"/>
          <w:u w:val="none"/>
          <w:lang w:val="en-US" w:eastAsia="zh-CN"/>
        </w:rPr>
        <w:t>2.中标单位应按照中标通知书要求及时与采购人签订合同并完成备案，否则将记入不良行为记录，并予以披露。</w:t>
      </w:r>
    </w:p>
    <w:p w14:paraId="685F590A">
      <w:pPr>
        <w:spacing w:line="360" w:lineRule="auto"/>
        <w:ind w:firstLine="435"/>
        <w:outlineLvl w:val="1"/>
        <w:rPr>
          <w:rFonts w:ascii="宋体" w:hAnsi="宋体" w:eastAsia="宋体"/>
          <w:b/>
          <w:bCs/>
          <w:color w:val="auto"/>
          <w:sz w:val="24"/>
          <w:szCs w:val="18"/>
          <w:highlight w:val="none"/>
          <w:u w:val="none"/>
        </w:rPr>
      </w:pPr>
      <w:r>
        <w:rPr>
          <w:rFonts w:hint="eastAsia" w:ascii="宋体" w:hAnsi="宋体" w:eastAsia="宋体"/>
          <w:b/>
          <w:bCs/>
          <w:color w:val="auto"/>
          <w:sz w:val="24"/>
          <w:szCs w:val="18"/>
          <w:highlight w:val="none"/>
          <w:u w:val="none"/>
          <w:lang w:val="en-US" w:eastAsia="zh-CN"/>
        </w:rPr>
        <w:t>八</w:t>
      </w:r>
      <w:r>
        <w:rPr>
          <w:rFonts w:hint="eastAsia" w:asciiTheme="minorEastAsia" w:hAnsiTheme="minorEastAsia" w:eastAsiaTheme="minorEastAsia"/>
          <w:b/>
          <w:color w:val="auto"/>
          <w:sz w:val="24"/>
          <w:highlight w:val="none"/>
          <w:u w:val="none"/>
        </w:rPr>
        <w:t>、</w:t>
      </w:r>
      <w:bookmarkEnd w:id="22"/>
      <w:r>
        <w:rPr>
          <w:rFonts w:hint="eastAsia" w:ascii="宋体" w:hAnsi="宋体" w:eastAsia="宋体"/>
          <w:b/>
          <w:bCs/>
          <w:color w:val="auto"/>
          <w:sz w:val="24"/>
          <w:szCs w:val="18"/>
          <w:highlight w:val="none"/>
          <w:u w:val="none"/>
        </w:rPr>
        <w:t>凡对本次采购提出询问，请按以下方式联系</w:t>
      </w:r>
      <w:bookmarkEnd w:id="27"/>
      <w:bookmarkEnd w:id="28"/>
    </w:p>
    <w:p w14:paraId="1060BC18">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1.采购人信息</w:t>
      </w:r>
    </w:p>
    <w:p w14:paraId="58CB20EC">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名称：桐城师范高等专科学校</w:t>
      </w:r>
    </w:p>
    <w:p w14:paraId="2B14A2B5">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地址：安徽省桐城市经开区学苑路199号</w:t>
      </w:r>
    </w:p>
    <w:p w14:paraId="60AC1555">
      <w:pPr>
        <w:spacing w:line="360" w:lineRule="auto"/>
        <w:ind w:firstLine="435"/>
        <w:rPr>
          <w:rFonts w:hint="default"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联系人：</w:t>
      </w:r>
      <w:r>
        <w:rPr>
          <w:rFonts w:hint="eastAsia" w:ascii="宋体" w:hAnsi="宋体"/>
          <w:color w:val="auto"/>
          <w:sz w:val="24"/>
          <w:szCs w:val="18"/>
          <w:highlight w:val="none"/>
          <w:u w:val="none"/>
          <w:lang w:val="en-US" w:eastAsia="zh-CN"/>
        </w:rPr>
        <w:t>汪</w:t>
      </w:r>
      <w:r>
        <w:rPr>
          <w:rFonts w:hint="eastAsia" w:ascii="宋体" w:hAnsi="宋体" w:eastAsia="宋体"/>
          <w:color w:val="auto"/>
          <w:sz w:val="24"/>
          <w:szCs w:val="18"/>
          <w:highlight w:val="none"/>
          <w:u w:val="none"/>
          <w:lang w:val="en-US" w:eastAsia="zh-CN"/>
        </w:rPr>
        <w:t>老师          联系方式：</w:t>
      </w:r>
      <w:r>
        <w:rPr>
          <w:rFonts w:hint="eastAsia" w:ascii="宋体" w:hAnsi="宋体"/>
          <w:color w:val="auto"/>
          <w:sz w:val="24"/>
          <w:szCs w:val="18"/>
          <w:highlight w:val="none"/>
          <w:u w:val="none"/>
          <w:lang w:val="en-US" w:eastAsia="zh-CN"/>
        </w:rPr>
        <w:t>0556-6181009</w:t>
      </w:r>
    </w:p>
    <w:p w14:paraId="7577A762">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2.采购代理机构信息</w:t>
      </w:r>
    </w:p>
    <w:p w14:paraId="2275BE02">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名称：宏骏工程管理有限公司</w:t>
      </w:r>
    </w:p>
    <w:p w14:paraId="2ADF2CD4">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地址：桐城市文昌街道徐庄安置点4期6幢114-115</w:t>
      </w:r>
    </w:p>
    <w:p w14:paraId="34E18E88">
      <w:pPr>
        <w:spacing w:line="360" w:lineRule="auto"/>
        <w:ind w:firstLine="435"/>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联系人：齐女士           联系电话：13855669358</w:t>
      </w:r>
    </w:p>
    <w:bookmarkEnd w:id="128"/>
    <w:p w14:paraId="00ED2FFC">
      <w:pPr>
        <w:spacing w:line="360" w:lineRule="auto"/>
        <w:ind w:firstLine="435"/>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29" w:name="_Toc54941329"/>
      <w:bookmarkStart w:id="30" w:name="_Toc11266"/>
      <w:bookmarkStart w:id="31" w:name="_Toc26069"/>
      <w:bookmarkStart w:id="32" w:name="_Toc54941331"/>
      <w:bookmarkStart w:id="33" w:name="_Toc2521"/>
      <w:bookmarkStart w:id="34"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bookmarkEnd w:id="29"/>
      <w:bookmarkEnd w:id="30"/>
      <w:bookmarkEnd w:id="31"/>
      <w:r>
        <w:rPr>
          <w:rFonts w:hint="eastAsia" w:ascii="Arial" w:hAnsi="Arial"/>
          <w:color w:val="auto"/>
          <w:kern w:val="2"/>
          <w:sz w:val="32"/>
          <w:szCs w:val="32"/>
          <w:highlight w:val="none"/>
        </w:rPr>
        <w:t>供应商</w:t>
      </w:r>
      <w:r>
        <w:rPr>
          <w:rFonts w:ascii="Arial" w:hAnsi="Arial"/>
          <w:color w:val="auto"/>
          <w:kern w:val="2"/>
          <w:sz w:val="32"/>
          <w:szCs w:val="32"/>
          <w:highlight w:val="none"/>
        </w:rPr>
        <w:t>须知</w:t>
      </w:r>
    </w:p>
    <w:p w14:paraId="62BB8DF9">
      <w:pPr>
        <w:pStyle w:val="3"/>
        <w:rPr>
          <w:rFonts w:hint="eastAsia" w:eastAsia="宋体" w:cs="Tahoma"/>
          <w:bCs/>
          <w:color w:val="auto"/>
          <w:kern w:val="0"/>
          <w:sz w:val="28"/>
          <w:szCs w:val="28"/>
          <w:highlight w:val="none"/>
          <w:lang w:eastAsia="zh-CN"/>
        </w:rPr>
      </w:pPr>
      <w:bookmarkStart w:id="35" w:name="_Toc17862"/>
      <w:bookmarkStart w:id="36" w:name="_Toc439316871"/>
      <w:bookmarkStart w:id="37" w:name="_Toc54941330"/>
      <w:r>
        <w:rPr>
          <w:rFonts w:hint="eastAsia" w:cs="Tahoma"/>
          <w:bCs/>
          <w:color w:val="auto"/>
          <w:kern w:val="0"/>
          <w:sz w:val="28"/>
          <w:szCs w:val="28"/>
          <w:highlight w:val="none"/>
        </w:rPr>
        <w:t>一</w:t>
      </w:r>
      <w:bookmarkEnd w:id="35"/>
      <w:bookmarkEnd w:id="36"/>
      <w:bookmarkEnd w:id="37"/>
      <w:r>
        <w:rPr>
          <w:rFonts w:hint="eastAsia" w:cs="Tahoma"/>
          <w:bCs/>
          <w:color w:val="auto"/>
          <w:kern w:val="0"/>
          <w:sz w:val="28"/>
          <w:szCs w:val="28"/>
          <w:highlight w:val="none"/>
          <w:lang w:eastAsia="zh-CN"/>
        </w:rPr>
        <w:t>、</w:t>
      </w:r>
      <w:r>
        <w:rPr>
          <w:rFonts w:hint="eastAsia" w:cs="Tahoma"/>
          <w:bCs/>
          <w:color w:val="auto"/>
          <w:kern w:val="0"/>
          <w:sz w:val="28"/>
          <w:szCs w:val="28"/>
          <w:highlight w:val="none"/>
        </w:rPr>
        <w:t>供应商</w:t>
      </w:r>
      <w:r>
        <w:rPr>
          <w:rFonts w:cs="Tahoma"/>
          <w:bCs/>
          <w:color w:val="auto"/>
          <w:kern w:val="0"/>
          <w:sz w:val="28"/>
          <w:szCs w:val="28"/>
          <w:highlight w:val="none"/>
        </w:rPr>
        <w:t>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宏骏工程管理有限公司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无</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p w14:paraId="4A95921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eastAsiaTheme="minorEastAsia"/>
                <w:b w:val="0"/>
                <w:bCs w:val="0"/>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u w:val="single"/>
                <w:lang w:eastAsia="zh-CN"/>
              </w:rPr>
              <w:t>2026</w:t>
            </w:r>
            <w:r>
              <w:rPr>
                <w:rFonts w:hint="eastAsia" w:asciiTheme="minorEastAsia" w:hAnsiTheme="minorEastAsia" w:eastAsiaTheme="minorEastAsia" w:cstheme="minorEastAsia"/>
                <w:sz w:val="21"/>
                <w:szCs w:val="21"/>
                <w:highlight w:val="none"/>
                <w:u w:val="none"/>
                <w:lang w:eastAsia="zh-CN"/>
              </w:rPr>
              <w:t>年</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none"/>
                <w:lang w:eastAsia="zh-CN"/>
              </w:rPr>
              <w:t>月</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single"/>
                <w:lang w:val="en-US" w:eastAsia="zh-CN"/>
              </w:rPr>
              <w:t>10</w:t>
            </w:r>
            <w:r>
              <w:rPr>
                <w:rFonts w:hint="eastAsia" w:asciiTheme="minorEastAsia" w:hAnsiTheme="minorEastAsia" w:eastAsiaTheme="minorEastAsia" w:cstheme="minorEastAsia"/>
                <w:sz w:val="21"/>
                <w:szCs w:val="21"/>
                <w:highlight w:val="none"/>
                <w:u w:val="single"/>
                <w:lang w:eastAsia="zh-CN"/>
              </w:rPr>
              <w:t xml:space="preserve"> </w:t>
            </w:r>
            <w:r>
              <w:rPr>
                <w:rFonts w:hint="eastAsia" w:asciiTheme="minorEastAsia" w:hAnsiTheme="minorEastAsia" w:eastAsiaTheme="minorEastAsia" w:cstheme="minorEastAsia"/>
                <w:sz w:val="21"/>
                <w:szCs w:val="21"/>
                <w:highlight w:val="none"/>
                <w:u w:val="none"/>
                <w:lang w:eastAsia="zh-CN"/>
              </w:rPr>
              <w:t>日</w:t>
            </w:r>
            <w:r>
              <w:rPr>
                <w:rFonts w:hint="eastAsia" w:asciiTheme="minorEastAsia" w:hAnsiTheme="minorEastAsia" w:eastAsiaTheme="minorEastAsia" w:cstheme="minorEastAsia"/>
                <w:sz w:val="21"/>
                <w:szCs w:val="21"/>
                <w:highlight w:val="none"/>
                <w:u w:val="single"/>
                <w:lang w:val="en-US" w:eastAsia="zh-CN"/>
              </w:rPr>
              <w:t xml:space="preserve"> 09 </w:t>
            </w:r>
            <w:r>
              <w:rPr>
                <w:rFonts w:hint="eastAsia" w:asciiTheme="minorEastAsia" w:hAnsiTheme="minorEastAsia" w:eastAsiaTheme="minorEastAsia" w:cstheme="minorEastAsia"/>
                <w:sz w:val="21"/>
                <w:szCs w:val="21"/>
                <w:highlight w:val="none"/>
              </w:rPr>
              <w:t>时</w:t>
            </w:r>
            <w:r>
              <w:rPr>
                <w:rFonts w:hint="eastAsia" w:asciiTheme="minorEastAsia" w:hAnsiTheme="minorEastAsia" w:eastAsiaTheme="minorEastAsia" w:cstheme="minorEastAsia"/>
                <w:sz w:val="21"/>
                <w:szCs w:val="21"/>
                <w:highlight w:val="none"/>
                <w:u w:val="single"/>
                <w:lang w:val="en-US" w:eastAsia="zh-CN"/>
              </w:rPr>
              <w:t xml:space="preserve"> 0</w:t>
            </w:r>
            <w:r>
              <w:rPr>
                <w:rFonts w:hint="eastAsia" w:asciiTheme="minorEastAsia" w:hAnsiTheme="minorEastAsia" w:eastAsiaTheme="minorEastAsia" w:cstheme="minorEastAsia"/>
                <w:sz w:val="21"/>
                <w:szCs w:val="21"/>
                <w:highlight w:val="none"/>
                <w:u w:val="single"/>
              </w:rPr>
              <w:t>0</w:t>
            </w:r>
            <w:r>
              <w:rPr>
                <w:rFonts w:hint="eastAsia" w:asciiTheme="minorEastAsia" w:hAnsiTheme="minorEastAsia" w:eastAsiaTheme="minorEastAsia" w:cstheme="minorEastAsia"/>
                <w:sz w:val="21"/>
                <w:szCs w:val="21"/>
                <w:highlight w:val="none"/>
                <w:u w:val="single"/>
                <w:lang w:val="en-US" w:eastAsia="zh-CN"/>
              </w:rPr>
              <w:t xml:space="preserve"> </w:t>
            </w:r>
            <w:r>
              <w:rPr>
                <w:rFonts w:hint="eastAsia" w:asciiTheme="minorEastAsia" w:hAnsiTheme="minorEastAsia" w:eastAsiaTheme="minorEastAsia" w:cstheme="minorEastAsia"/>
                <w:sz w:val="21"/>
                <w:szCs w:val="21"/>
                <w:highlight w:val="none"/>
              </w:rPr>
              <w:t>分前</w:t>
            </w:r>
            <w:r>
              <w:rPr>
                <w:rFonts w:hint="eastAsia" w:asciiTheme="minorEastAsia" w:hAnsiTheme="minorEastAsia" w:eastAsiaTheme="minorEastAsia" w:cstheme="minorEastAsia"/>
                <w:bCs/>
                <w:sz w:val="21"/>
                <w:szCs w:val="21"/>
                <w:highlight w:val="none"/>
              </w:rPr>
              <w:t>（北京时间）</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lang w:val="en-US" w:eastAsia="zh-CN"/>
              </w:rPr>
              <w:t>此时间以前不得开封。</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0556-6181009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通讯地址：</w:t>
            </w:r>
            <w:r>
              <w:rPr>
                <w:rFonts w:hint="eastAsia" w:asciiTheme="minorEastAsia" w:hAnsiTheme="minorEastAsia" w:eastAsiaTheme="minorEastAsia" w:cstheme="minorEastAsia"/>
                <w:lang w:val="en-US" w:eastAsia="zh-CN"/>
              </w:rPr>
              <w:t xml:space="preserve"> 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w:t>
            </w:r>
            <w:r>
              <w:rPr>
                <w:rFonts w:hint="eastAsia" w:asciiTheme="minorEastAsia" w:hAnsiTheme="minorEastAsia" w:eastAsiaTheme="minorEastAsia" w:cstheme="minorEastAsia"/>
                <w:lang w:eastAsia="zh-CN"/>
              </w:rPr>
              <w:t>。</w:t>
            </w:r>
          </w:p>
        </w:tc>
      </w:tr>
    </w:tbl>
    <w:p w14:paraId="4C8DA0C0">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13A6CB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1CF4FB04">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55924D9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6A568032">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firstLine="640" w:firstLineChars="200"/>
        <w:textAlignment w:val="auto"/>
        <w:rPr>
          <w:rFonts w:hint="eastAsia" w:cs="Tahoma"/>
          <w:bCs/>
          <w:color w:val="auto"/>
          <w:kern w:val="0"/>
          <w:sz w:val="32"/>
          <w:szCs w:val="32"/>
          <w:highlight w:val="none"/>
          <w:lang w:val="en-US" w:eastAsia="zh-CN"/>
        </w:rPr>
      </w:pPr>
    </w:p>
    <w:p w14:paraId="366704C7">
      <w:pPr>
        <w:rPr>
          <w:rFonts w:hint="eastAsia" w:cs="Tahoma"/>
          <w:bCs/>
          <w:color w:val="auto"/>
          <w:kern w:val="0"/>
          <w:sz w:val="32"/>
          <w:szCs w:val="32"/>
          <w:highlight w:val="none"/>
          <w:lang w:val="en-US" w:eastAsia="zh-CN"/>
        </w:rPr>
      </w:pPr>
    </w:p>
    <w:p w14:paraId="0BE0184C">
      <w:pPr>
        <w:rPr>
          <w:rFonts w:hint="eastAsia" w:cs="Tahoma"/>
          <w:bCs/>
          <w:color w:val="auto"/>
          <w:kern w:val="0"/>
          <w:sz w:val="32"/>
          <w:szCs w:val="32"/>
          <w:highlight w:val="none"/>
          <w:lang w:val="en-US" w:eastAsia="zh-CN"/>
        </w:rPr>
      </w:pPr>
    </w:p>
    <w:p w14:paraId="08ABD3A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31ED34D9">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r>
        <w:rPr>
          <w:rFonts w:hint="eastAsia" w:cs="Tahoma"/>
          <w:bCs/>
          <w:color w:val="auto"/>
          <w:kern w:val="0"/>
          <w:sz w:val="32"/>
          <w:szCs w:val="32"/>
          <w:highlight w:val="none"/>
          <w:lang w:val="en-US" w:eastAsia="zh-CN"/>
        </w:rPr>
        <w:t xml:space="preserve">                                                                                                 </w:t>
      </w:r>
    </w:p>
    <w:p w14:paraId="04F19C8D">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658365D1">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4617D84F">
      <w:pPr>
        <w:pStyle w:val="3"/>
        <w:keepNext/>
        <w:keepLines/>
        <w:pageBreakBefore w:val="0"/>
        <w:widowControl w:val="0"/>
        <w:kinsoku/>
        <w:wordWrap/>
        <w:overflowPunct/>
        <w:topLinePunct w:val="0"/>
        <w:autoSpaceDE/>
        <w:autoSpaceDN/>
        <w:bidi w:val="0"/>
        <w:adjustRightInd w:val="0"/>
        <w:snapToGrid/>
        <w:spacing w:before="0" w:beforeAutospacing="0" w:after="0" w:afterAutospacing="0" w:line="240" w:lineRule="exact"/>
        <w:ind w:left="0" w:leftChars="0" w:firstLine="640" w:firstLineChars="200"/>
        <w:textAlignment w:val="auto"/>
        <w:rPr>
          <w:rFonts w:hint="eastAsia" w:cs="Tahoma"/>
          <w:bCs/>
          <w:color w:val="auto"/>
          <w:kern w:val="0"/>
          <w:sz w:val="32"/>
          <w:szCs w:val="32"/>
          <w:highlight w:val="none"/>
          <w:lang w:val="en-US" w:eastAsia="zh-CN"/>
        </w:rPr>
      </w:pPr>
    </w:p>
    <w:p w14:paraId="5031C8D0">
      <w:pPr>
        <w:rPr>
          <w:rFonts w:hint="eastAsia" w:cs="Tahoma"/>
          <w:bCs/>
          <w:color w:val="auto"/>
          <w:kern w:val="0"/>
          <w:sz w:val="32"/>
          <w:szCs w:val="32"/>
          <w:highlight w:val="none"/>
          <w:lang w:val="en-US" w:eastAsia="zh-CN"/>
        </w:rPr>
      </w:pPr>
    </w:p>
    <w:p w14:paraId="20327E56">
      <w:pPr>
        <w:rPr>
          <w:rFonts w:hint="eastAsia" w:cs="Tahoma"/>
          <w:bCs/>
          <w:color w:val="auto"/>
          <w:kern w:val="0"/>
          <w:sz w:val="32"/>
          <w:szCs w:val="32"/>
          <w:highlight w:val="none"/>
          <w:lang w:val="en-US" w:eastAsia="zh-CN"/>
        </w:rPr>
      </w:pPr>
    </w:p>
    <w:p w14:paraId="49153585">
      <w:pPr>
        <w:pStyle w:val="39"/>
        <w:rPr>
          <w:rFonts w:hint="eastAsia" w:cs="Tahoma"/>
          <w:bCs/>
          <w:color w:val="auto"/>
          <w:kern w:val="0"/>
          <w:sz w:val="32"/>
          <w:szCs w:val="32"/>
          <w:highlight w:val="none"/>
          <w:lang w:val="en-US" w:eastAsia="zh-CN"/>
        </w:rPr>
      </w:pPr>
    </w:p>
    <w:p w14:paraId="2136D265">
      <w:pPr>
        <w:pStyle w:val="39"/>
        <w:rPr>
          <w:rFonts w:hint="eastAsia" w:cs="Tahoma"/>
          <w:bCs/>
          <w:color w:val="auto"/>
          <w:kern w:val="0"/>
          <w:sz w:val="32"/>
          <w:szCs w:val="32"/>
          <w:highlight w:val="none"/>
          <w:lang w:val="en-US" w:eastAsia="zh-CN"/>
        </w:rPr>
      </w:pPr>
    </w:p>
    <w:bookmarkEnd w:id="32"/>
    <w:bookmarkEnd w:id="33"/>
    <w:bookmarkEnd w:id="34"/>
    <w:p w14:paraId="1B0B2A3E">
      <w:pPr>
        <w:pStyle w:val="2"/>
        <w:tabs>
          <w:tab w:val="left" w:pos="1440"/>
          <w:tab w:val="left" w:pos="5670"/>
        </w:tabs>
        <w:spacing w:before="62" w:beforeLines="20" w:after="62" w:afterLines="20" w:line="480" w:lineRule="exact"/>
        <w:ind w:firstLine="0" w:firstLineChars="0"/>
        <w:jc w:val="center"/>
        <w:rPr>
          <w:rFonts w:hint="eastAsia" w:ascii="宋体" w:hAnsi="宋体" w:eastAsia="宋体" w:cs="宋体"/>
          <w:b/>
          <w:bCs/>
          <w:color w:val="auto"/>
          <w:kern w:val="2"/>
          <w:sz w:val="30"/>
          <w:szCs w:val="30"/>
          <w:highlight w:val="none"/>
          <w:lang w:val="en-US" w:eastAsia="zh-CN"/>
        </w:rPr>
      </w:pPr>
      <w:bookmarkStart w:id="38" w:name="_Toc12353"/>
      <w:r>
        <w:rPr>
          <w:rFonts w:hint="eastAsia" w:ascii="宋体" w:hAnsi="宋体" w:eastAsia="宋体" w:cs="宋体"/>
          <w:b/>
          <w:bCs/>
          <w:color w:val="auto"/>
          <w:kern w:val="2"/>
          <w:sz w:val="30"/>
          <w:szCs w:val="30"/>
          <w:highlight w:val="none"/>
          <w:lang w:val="zh-CN"/>
        </w:rPr>
        <w:t>二、</w:t>
      </w:r>
      <w:r>
        <w:rPr>
          <w:rFonts w:hint="eastAsia" w:ascii="宋体" w:hAnsi="宋体" w:eastAsia="宋体" w:cs="宋体"/>
          <w:b/>
          <w:bCs/>
          <w:color w:val="auto"/>
          <w:kern w:val="2"/>
          <w:sz w:val="30"/>
          <w:szCs w:val="30"/>
          <w:highlight w:val="none"/>
          <w:lang w:val="en-US" w:eastAsia="zh-CN"/>
        </w:rPr>
        <w:t>供应商</w:t>
      </w:r>
      <w:r>
        <w:rPr>
          <w:rFonts w:hint="eastAsia" w:ascii="宋体" w:hAnsi="宋体" w:eastAsia="宋体" w:cs="宋体"/>
          <w:b/>
          <w:bCs/>
          <w:color w:val="auto"/>
          <w:kern w:val="2"/>
          <w:sz w:val="30"/>
          <w:szCs w:val="30"/>
          <w:highlight w:val="none"/>
          <w:lang w:val="zh-CN"/>
        </w:rPr>
        <w:t>须知</w:t>
      </w:r>
      <w:r>
        <w:rPr>
          <w:rFonts w:hint="eastAsia" w:ascii="宋体" w:hAnsi="宋体" w:eastAsia="宋体" w:cs="宋体"/>
          <w:b/>
          <w:bCs/>
          <w:color w:val="auto"/>
          <w:kern w:val="2"/>
          <w:sz w:val="30"/>
          <w:szCs w:val="30"/>
          <w:highlight w:val="none"/>
          <w:lang w:val="en-US" w:eastAsia="zh-CN"/>
        </w:rPr>
        <w:t>正文</w:t>
      </w:r>
    </w:p>
    <w:p w14:paraId="101F9319">
      <w:pPr>
        <w:spacing w:beforeAutospacing="0" w:line="360" w:lineRule="auto"/>
        <w:outlineLvl w:val="2"/>
        <w:rPr>
          <w:rFonts w:asciiTheme="minorEastAsia" w:hAnsiTheme="minorEastAsia" w:eastAsiaTheme="minorEastAsia"/>
          <w:b/>
          <w:color w:val="auto"/>
          <w:sz w:val="24"/>
          <w:highlight w:val="none"/>
        </w:rPr>
      </w:pPr>
      <w:bookmarkStart w:id="39" w:name="_Toc15055"/>
      <w:bookmarkStart w:id="40" w:name="_Toc10523"/>
      <w:bookmarkStart w:id="41" w:name="_Toc21078"/>
      <w:bookmarkStart w:id="42" w:name="_Toc7325"/>
      <w:bookmarkStart w:id="43" w:name="_Toc439316919"/>
      <w:bookmarkStart w:id="44" w:name="_Toc25270"/>
      <w:bookmarkStart w:id="45" w:name="_Toc439316873"/>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44CEDE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1.1采购人：是指依法开展政府采购活动的国家机关、事业单位、团体组织。</w:t>
      </w:r>
    </w:p>
    <w:p w14:paraId="343DC7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1.2采购代理机构：是指集中采购机构或从事采购代理业务的社会中介机构。</w:t>
      </w:r>
    </w:p>
    <w:p w14:paraId="4F90F4E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1.3政府采购监督管理部门：各级人民政府指定的有关部门依法履行与政府采购活动有关的监督管理职责。</w:t>
      </w:r>
    </w:p>
    <w:p w14:paraId="31080CA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1.4供应商：是指向采购人提供货物、工程或者服务的法人、其他组织或者自然人。分支机构不得参加政府采购活动，但银行、保险、石油石化、电力、电信等特殊行业除外。</w:t>
      </w:r>
      <w:bookmarkStart w:id="46" w:name="_Hlk60264251"/>
      <w:r>
        <w:rPr>
          <w:rFonts w:hint="eastAsia" w:ascii="宋体" w:hAnsi="宋体" w:eastAsia="宋体" w:cs="Times New Roman"/>
          <w:color w:val="auto"/>
          <w:sz w:val="24"/>
          <w:highlight w:val="none"/>
          <w:lang w:val="en-US" w:eastAsia="zh-CN"/>
        </w:rPr>
        <w:t>本项目的供应商须满足以下条件：</w:t>
      </w:r>
    </w:p>
    <w:p w14:paraId="7728D21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1.4.1具备《中华人民共和国政府采购法》第二十二条关于供应商条件的规定，遵守本项目采购人本级和上级财政部门政府采购的有关规定。</w:t>
      </w:r>
    </w:p>
    <w:p w14:paraId="4A0DAC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1.4.2以采购代理机构认可的方式获得了本项目的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w:t>
      </w:r>
    </w:p>
    <w:p w14:paraId="38E2CAE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1.4.3若采购需求中写明允许采购进口产品，供应商应保证所投产品可履行合法报通关手续进入中国关境内。</w:t>
      </w:r>
    </w:p>
    <w:p w14:paraId="059CB49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若采购需求中未写明允许采购进口产品，如供应商所投产品为进口产品，其响应文件将被认定为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bookmarkEnd w:id="46"/>
    <w:p w14:paraId="6B0A365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2.资金落实情况</w:t>
      </w:r>
    </w:p>
    <w:p w14:paraId="25ECBFDD">
      <w:pPr>
        <w:spacing w:line="360" w:lineRule="auto"/>
        <w:ind w:firstLine="240" w:firstLineChars="100"/>
        <w:rPr>
          <w:rFonts w:asciiTheme="minorEastAsia" w:hAnsiTheme="minorEastAsia" w:eastAsiaTheme="minorEastAsia"/>
          <w:color w:val="auto"/>
          <w:sz w:val="24"/>
          <w:highlight w:val="none"/>
        </w:rPr>
      </w:pPr>
      <w:r>
        <w:rPr>
          <w:rFonts w:hint="eastAsia" w:ascii="宋体" w:hAnsi="宋体" w:eastAsia="宋体" w:cs="Times New Roman"/>
          <w:color w:val="auto"/>
          <w:sz w:val="24"/>
          <w:highlight w:val="none"/>
          <w:lang w:val="en-US" w:eastAsia="zh-CN"/>
        </w:rPr>
        <w:t>本项目的采购人已获得足以支付本次</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后所签订的合同项下的资金。</w:t>
      </w:r>
    </w:p>
    <w:p w14:paraId="53D90C5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3.谈判费用</w:t>
      </w:r>
    </w:p>
    <w:p w14:paraId="7C57E13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不论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的结果如何，供应商应承担其所有与准备和参加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有关的费用。</w:t>
      </w:r>
    </w:p>
    <w:p w14:paraId="6548771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4.适用法律</w:t>
      </w:r>
    </w:p>
    <w:p w14:paraId="55A81F7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本项目采购人、采购代理机构、供应商、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的相关行为均受《中华人民共和国政府采购法》、《中华人民共和国政府采购法实施条例》及本项目本级和上级财政部门、政府采购监督管理部门的政府采购有关规定的约束，其权利受到上述法律法规的保护。</w:t>
      </w:r>
    </w:p>
    <w:p w14:paraId="5BD1AE1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5.谈判文件构成</w:t>
      </w:r>
    </w:p>
    <w:p w14:paraId="673D8F0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文件包括下列内容：</w:t>
      </w:r>
    </w:p>
    <w:p w14:paraId="7455A63B">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第一章  </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邀请</w:t>
      </w:r>
    </w:p>
    <w:p w14:paraId="4FD7338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第二章  供应商须知</w:t>
      </w:r>
    </w:p>
    <w:p w14:paraId="2904E97C">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第三章  采购需求</w:t>
      </w:r>
    </w:p>
    <w:p w14:paraId="08A9AF7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第四章  评审方法和标准</w:t>
      </w:r>
    </w:p>
    <w:p w14:paraId="5BF2EBBD">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第五章  政府采购合同</w:t>
      </w:r>
    </w:p>
    <w:p w14:paraId="5B5FCAF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第六章  响应文件格式</w:t>
      </w:r>
    </w:p>
    <w:p w14:paraId="0DA58631">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第七章  政府采购供应商询问函和质疑函范本</w:t>
      </w:r>
    </w:p>
    <w:p w14:paraId="0EF941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8110B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文件所有的事项、格式、条款和技术规范等。</w:t>
      </w:r>
    </w:p>
    <w:p w14:paraId="5F7532E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6.谈判文件的澄清与修改</w:t>
      </w:r>
    </w:p>
    <w:p w14:paraId="6F22022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6.1供应商如对</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文件内容有疑问，必须在供应商须知前附表规定的网上询问截止时间前以书面提问形式提交给采购代理机构。</w:t>
      </w:r>
    </w:p>
    <w:p w14:paraId="16037D5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6.2</w:t>
      </w:r>
      <w:r>
        <w:rPr>
          <w:rFonts w:hint="eastAsia" w:asciiTheme="minorEastAsia" w:hAnsiTheme="minorEastAsia" w:eastAsiaTheme="minorEastAsia"/>
          <w:color w:val="auto"/>
          <w:sz w:val="24"/>
          <w:highlight w:val="none"/>
        </w:rPr>
        <w:t>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w:t>
      </w:r>
      <w:r>
        <w:rPr>
          <w:rFonts w:hint="eastAsia" w:asciiTheme="minorEastAsia" w:hAnsiTheme="minorEastAsia" w:eastAsiaTheme="minorEastAsia"/>
          <w:color w:val="auto"/>
          <w:sz w:val="24"/>
          <w:highlight w:val="none"/>
          <w:lang w:eastAsia="zh-CN"/>
        </w:rPr>
        <w:t>桐城师范高等专科学校</w:t>
      </w:r>
      <w:r>
        <w:rPr>
          <w:rFonts w:hint="eastAsia" w:asciiTheme="minorEastAsia" w:hAnsiTheme="minorEastAsia" w:eastAsiaTheme="minorEastAsia"/>
          <w:color w:val="auto"/>
          <w:sz w:val="24"/>
          <w:highlight w:val="none"/>
          <w:lang w:val="en-US" w:eastAsia="zh-CN"/>
        </w:rPr>
        <w:t>官网和安庆市公共资源交易服务网“限额以下项目”上</w:t>
      </w:r>
      <w:r>
        <w:rPr>
          <w:rFonts w:hint="eastAsia" w:asciiTheme="minorEastAsia" w:hAnsiTheme="minorEastAsia" w:eastAsiaTheme="minorEastAsia"/>
          <w:color w:val="auto"/>
          <w:sz w:val="24"/>
          <w:highlight w:val="none"/>
        </w:rPr>
        <w:t>发布更正公告的方式澄清或者修改</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1452C7A1">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6.3任何人或任何组织向供应商提供的任何书面或口头资料，未经采购代理机构在网上发布或书面通知，均作无效处理，不得作为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文件的组成部分。采购代理机构对供应商由此而做出的推论、理解和结论概不负责。</w:t>
      </w:r>
    </w:p>
    <w:p w14:paraId="35F2B7E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6.4对于没有提出询问又参与了本项目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的供应商将被视为完全认同本</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文件（含更正公告的内容）。</w:t>
      </w:r>
    </w:p>
    <w:p w14:paraId="479E2824">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7.谈判范围及响应文件中标准和计量单位的使用</w:t>
      </w:r>
    </w:p>
    <w:p w14:paraId="4D97F1E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w:t>
      </w:r>
      <w:r>
        <w:rPr>
          <w:rFonts w:hint="eastAsia" w:ascii="宋体" w:hAnsi="宋体" w:cs="Times New Roman"/>
          <w:color w:val="auto"/>
          <w:sz w:val="24"/>
          <w:highlight w:val="none"/>
          <w:lang w:val="en-US" w:eastAsia="zh-CN"/>
        </w:rPr>
        <w:t>本</w:t>
      </w:r>
      <w:r>
        <w:rPr>
          <w:rFonts w:hint="eastAsia" w:ascii="宋体" w:hAnsi="宋体" w:eastAsia="宋体" w:cs="Times New Roman"/>
          <w:color w:val="auto"/>
          <w:sz w:val="24"/>
          <w:highlight w:val="none"/>
          <w:lang w:val="en-US" w:eastAsia="zh-CN"/>
        </w:rPr>
        <w:t>项目</w:t>
      </w:r>
      <w:r>
        <w:rPr>
          <w:rFonts w:hint="eastAsia" w:ascii="宋体" w:hAnsi="宋体" w:cs="Times New Roman"/>
          <w:color w:val="auto"/>
          <w:sz w:val="24"/>
          <w:highlight w:val="none"/>
          <w:lang w:val="en-US" w:eastAsia="zh-CN"/>
        </w:rPr>
        <w:t>无</w:t>
      </w:r>
      <w:r>
        <w:rPr>
          <w:rFonts w:hint="eastAsia" w:ascii="宋体" w:hAnsi="宋体" w:eastAsia="宋体" w:cs="Times New Roman"/>
          <w:color w:val="auto"/>
          <w:sz w:val="24"/>
          <w:highlight w:val="none"/>
          <w:lang w:val="en-US" w:eastAsia="zh-CN"/>
        </w:rPr>
        <w:t>分包。</w:t>
      </w:r>
    </w:p>
    <w:p w14:paraId="5FE3DE70">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7.2供应商应当对所投分包</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文件中“采购需求”所列的所有内容进行响应，如仅响应所投包别中的部分内容，其所投包别的响应将被认定为响应无效</w:t>
      </w:r>
      <w:r>
        <w:rPr>
          <w:rFonts w:hint="eastAsia" w:ascii="宋体" w:hAnsi="宋体" w:eastAsia="宋体" w:cs="Times New Roman"/>
          <w:color w:val="auto"/>
          <w:sz w:val="24"/>
          <w:highlight w:val="yellow"/>
          <w:lang w:val="en-US" w:eastAsia="zh-CN"/>
        </w:rPr>
        <w:t>（采购文件允许偏离的除外）</w:t>
      </w:r>
      <w:r>
        <w:rPr>
          <w:rFonts w:hint="eastAsia" w:ascii="宋体" w:hAnsi="宋体" w:eastAsia="宋体" w:cs="Times New Roman"/>
          <w:color w:val="auto"/>
          <w:sz w:val="24"/>
          <w:highlight w:val="none"/>
          <w:lang w:val="en-US" w:eastAsia="zh-CN"/>
        </w:rPr>
        <w:t>。</w:t>
      </w:r>
    </w:p>
    <w:p w14:paraId="322931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7.3无论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文件中是否要求，供应商所投货物及伴随的服务和工程均应符合国家强制性标准。</w:t>
      </w:r>
    </w:p>
    <w:p w14:paraId="2A8D52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7.4供应商与采购代理机构之间与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有关的所有往来通知、函件和响应文件均用中文表述。供应商随响应文件提供的证明文件和资料可以为其它语言，但必须附中文译文。翻译的中文资料与外文资料如果出现差异时，以中文为准。</w:t>
      </w:r>
    </w:p>
    <w:p w14:paraId="687B0A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7.5除</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文件中有特殊要求外，响应文件中所使用的计量单位，应采用中华人民共和国法定计量单位。</w:t>
      </w:r>
    </w:p>
    <w:p w14:paraId="328159C0">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8.响应文件构成</w:t>
      </w:r>
    </w:p>
    <w:p w14:paraId="18748EB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8.1供应商应完整地按</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文件提供的响应文件格式及要求编写响应文件，具体内容详见本项目响应文件格式的相关内容。</w:t>
      </w:r>
    </w:p>
    <w:p w14:paraId="76F6BD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8.2供应商应提交</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文件要求的证明文件，证明其响应内容符合</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文件规定。该证明文件是响应文件的一部分。证明文件形式可以是文字资料、图纸和数据</w:t>
      </w:r>
      <w:bookmarkStart w:id="47" w:name="_Hlk11703583"/>
      <w:r>
        <w:rPr>
          <w:rFonts w:hint="eastAsia" w:ascii="宋体" w:hAnsi="宋体" w:eastAsia="宋体" w:cs="Times New Roman"/>
          <w:color w:val="auto"/>
          <w:sz w:val="24"/>
          <w:highlight w:val="none"/>
          <w:lang w:val="en-US" w:eastAsia="zh-CN"/>
        </w:rPr>
        <w:t>。</w:t>
      </w:r>
    </w:p>
    <w:bookmarkEnd w:id="47"/>
    <w:p w14:paraId="21E9A43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8.3为保证公平公正，除非</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文件另有规定或说明，供应商对同一项目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时，不得同时提供备选</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方案。</w:t>
      </w:r>
    </w:p>
    <w:p w14:paraId="05C862C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9.报价</w:t>
      </w:r>
    </w:p>
    <w:p w14:paraId="7052D033">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除谈判文件另有规定外，</w:t>
      </w:r>
      <w:r>
        <w:rPr>
          <w:rFonts w:hint="eastAsia" w:asciiTheme="minorEastAsia" w:hAnsiTheme="minorEastAsia" w:eastAsiaTheme="minorEastAsia"/>
          <w:color w:val="auto"/>
          <w:sz w:val="24"/>
          <w:highlight w:val="none"/>
        </w:rPr>
        <w:t>所有内容均应以人民币报价，供应商的</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报价应遵守《中华人民共和国价格法》。</w:t>
      </w:r>
    </w:p>
    <w:p w14:paraId="4150C6B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.2供应商应</w:t>
      </w:r>
      <w:r>
        <w:rPr>
          <w:rFonts w:hint="eastAsia" w:asciiTheme="minorEastAsia" w:hAnsiTheme="minorEastAsia" w:eastAsiaTheme="minorEastAsia"/>
          <w:color w:val="auto"/>
          <w:sz w:val="24"/>
          <w:highlight w:val="none"/>
        </w:rPr>
        <w:t>在分项报价表上标明分项服务、伴随的货物和工程的价格（如适用）和总价，未标明的视同包含在</w:t>
      </w:r>
      <w:r>
        <w:rPr>
          <w:rFonts w:hint="eastAsia" w:asciiTheme="minorEastAsia" w:hAnsiTheme="minorEastAsia" w:eastAsiaTheme="minorEastAsia"/>
          <w:color w:val="auto"/>
          <w:sz w:val="24"/>
          <w:highlight w:val="none"/>
          <w:lang w:eastAsia="zh-CN"/>
        </w:rPr>
        <w:t>谈判</w:t>
      </w:r>
      <w:r>
        <w:rPr>
          <w:rFonts w:hint="eastAsia" w:asciiTheme="minorEastAsia" w:hAnsiTheme="minorEastAsia" w:eastAsiaTheme="minorEastAsia"/>
          <w:color w:val="auto"/>
          <w:sz w:val="24"/>
          <w:highlight w:val="none"/>
        </w:rPr>
        <w:t>报价中。</w:t>
      </w:r>
    </w:p>
    <w:p w14:paraId="79B8B909">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除非</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文件另有规定或经采购人同意支付的，最后报价均不得高于</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AC3ED12">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lang w:eastAsia="zh-CN"/>
        </w:rPr>
        <w:t>谈判</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8F76B04">
      <w:pPr>
        <w:spacing w:line="360" w:lineRule="auto"/>
        <w:ind w:firstLine="240" w:firstLineChars="1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6AB8C72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10.谈判保证金</w:t>
      </w:r>
    </w:p>
    <w:p w14:paraId="2641AA4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10.1本项目不收取</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保证金。</w:t>
      </w:r>
    </w:p>
    <w:p w14:paraId="3036E34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11.谈判有效期</w:t>
      </w:r>
    </w:p>
    <w:p w14:paraId="08E4B2A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有效期为从响应文件提交截止之日算起的日历天数，</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有效期详见供应商须知前附表。</w:t>
      </w:r>
    </w:p>
    <w:p w14:paraId="016B73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11.2在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有效期内，供应商的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保持有效，供应商不得要求撤销或修改其响应文件。</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有效期不满足要求的响应，其响应文件将被认定为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5503A1C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11.3为保证有充分时间签订合同，采购人或采购代理机构可根据实际情况，在原</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有效期截止之前，要求供应商延长</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有效期。接受该要求的供应商将不会被要求和允许修正其响应文件。供应商可以拒绝延长</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有效期的要求，且不承担任何责任。上述要求和答复都应以书面形式提交。</w:t>
      </w:r>
    </w:p>
    <w:p w14:paraId="3C114C0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12.响应文件的提交、修改与撤回</w:t>
      </w:r>
    </w:p>
    <w:p w14:paraId="3EFBE38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12.1供应商应当在竞争性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公告规定的响应文件提交截止时间前，将密封完好的响应文件递交，逾期递交的响应文件将不予受理。</w:t>
      </w:r>
    </w:p>
    <w:p w14:paraId="77A8F62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12.2响应人应当在响应文件提交截止时间前完成响应文件的现场递交，未在响应文件提交截止时间前提交有效纸质响应文件的，代理机构不予接收，视为未提交响应文件。</w:t>
      </w:r>
    </w:p>
    <w:p w14:paraId="2ED401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12.3供应商应在供应商须知前附表规定的递交时间前对其响应文件进行提交，未在规定时间内进行递交的，</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7C431E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12.4在响应文件提交截止时间之后，供应商不得对其响应文件做任何修改。但属于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小组在评审中发现的计算错误并进行核实的修改、按照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文件的变动情况和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小组的要求重新提交响应文件的，不在此列。</w:t>
      </w:r>
    </w:p>
    <w:p w14:paraId="58FB80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13.谈判小组</w:t>
      </w:r>
    </w:p>
    <w:p w14:paraId="36395F8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13.1本项目将依法组建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小组成员由3人以上（含）单数组成，</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小组及其成员应当依照政府采购的有关规定履行相关职责和义务。</w:t>
      </w:r>
    </w:p>
    <w:p w14:paraId="5CBC2F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小组依法对响应文件进行评审，并根据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文件规定的程序、评定成交的标准等事项与实质性响应</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文件要求的供应商进行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2B82BF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13.3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小组应当从质量和服务均能满足</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文件实质性响应要求的供应商中，按照评审办法和标准推荐成交候选人，并编写评审报告。</w:t>
      </w:r>
    </w:p>
    <w:p w14:paraId="3954067B">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14.响应文件的评审与谈判</w:t>
      </w:r>
    </w:p>
    <w:p w14:paraId="61A6F3C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14.1采购人和采购代理机构将在竞争性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公告规定的时间和地点组织</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029152D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14.2竞争性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采用最低评标价法评审。</w:t>
      </w:r>
    </w:p>
    <w:p w14:paraId="6B838F9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最低评标价法，是指响应文件满足</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文件全部实质性要求且最后报价最低的供应商为成交候选人的评标方法。</w:t>
      </w:r>
    </w:p>
    <w:p w14:paraId="0862BF8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小组将按照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文件规定的评审方法和标准对供应商独立进行评审。评审程序如下：</w:t>
      </w:r>
    </w:p>
    <w:p w14:paraId="4224439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14.3.1</w:t>
      </w:r>
      <w:r>
        <w:rPr>
          <w:rFonts w:hint="eastAsia" w:ascii="宋体" w:hAnsi="宋体" w:eastAsia="宋体" w:cs="Times New Roman"/>
          <w:b/>
          <w:bCs/>
          <w:color w:val="auto"/>
          <w:sz w:val="24"/>
          <w:highlight w:val="none"/>
          <w:lang w:val="en-US" w:eastAsia="zh-CN"/>
        </w:rPr>
        <w:t>初审</w:t>
      </w: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小组对供应商必须满足和实质性响应的内容进行评审，供应商未实质性响应</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文件要求导致响应无效的，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小组将以书面询标的方式告知有关供应商。</w:t>
      </w:r>
    </w:p>
    <w:p w14:paraId="1F0A873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采购人或采购代理机构将在响应文件提交截止时间后至评审结束前通过“信用中国”网站(www.creditchina.gov.cn)、中国政府采购网(www.ccgp.gov.cn)查询相关供应商信用记录，并对供应商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响应文件将被认定为响应无效。</w:t>
      </w:r>
    </w:p>
    <w:p w14:paraId="5F7D8AE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以上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2BA3842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14.3.2</w:t>
      </w:r>
      <w:r>
        <w:rPr>
          <w:rFonts w:hint="eastAsia" w:ascii="宋体" w:hAnsi="宋体" w:cs="Times New Roman"/>
          <w:b/>
          <w:bCs/>
          <w:color w:val="auto"/>
          <w:sz w:val="24"/>
          <w:highlight w:val="none"/>
          <w:lang w:val="en-US" w:eastAsia="zh-CN"/>
        </w:rPr>
        <w:t>谈判</w:t>
      </w:r>
      <w:r>
        <w:rPr>
          <w:rFonts w:hint="eastAsia" w:ascii="宋体" w:hAnsi="宋体" w:eastAsia="宋体" w:cs="Times New Roman"/>
          <w:color w:val="auto"/>
          <w:sz w:val="24"/>
          <w:highlight w:val="none"/>
          <w:lang w:val="en-US" w:eastAsia="zh-CN"/>
        </w:rPr>
        <w:t>。初审合格后，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小组将与单一供应商分别进行</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，并给予所有参加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的供应商平等的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机会。</w:t>
      </w:r>
    </w:p>
    <w:p w14:paraId="5608CB7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14.3.3</w:t>
      </w:r>
      <w:r>
        <w:rPr>
          <w:rFonts w:hint="eastAsia" w:ascii="宋体" w:hAnsi="宋体" w:eastAsia="宋体" w:cs="Times New Roman"/>
          <w:b/>
          <w:bCs/>
          <w:color w:val="auto"/>
          <w:sz w:val="24"/>
          <w:highlight w:val="none"/>
          <w:lang w:val="en-US" w:eastAsia="zh-CN"/>
        </w:rPr>
        <w:t>报价</w:t>
      </w:r>
      <w:r>
        <w:rPr>
          <w:rFonts w:hint="eastAsia" w:ascii="宋体" w:hAnsi="宋体" w:eastAsia="宋体" w:cs="Times New Roman"/>
          <w:color w:val="auto"/>
          <w:sz w:val="24"/>
          <w:highlight w:val="none"/>
          <w:lang w:val="en-US" w:eastAsia="zh-CN"/>
        </w:rPr>
        <w:t>。</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结束后，</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小组应当要求所有继续参加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的供应商在规定时间内提交最后报价。如供应商未在规定时间内（30分钟内）提交最后报价，则视为供应商自愿退出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w:t>
      </w:r>
    </w:p>
    <w:p w14:paraId="26C9810D">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14.3.4</w:t>
      </w:r>
      <w:r>
        <w:rPr>
          <w:rFonts w:hint="eastAsia" w:ascii="宋体" w:hAnsi="宋体" w:eastAsia="宋体" w:cs="Times New Roman"/>
          <w:b/>
          <w:bCs/>
          <w:color w:val="auto"/>
          <w:sz w:val="24"/>
          <w:highlight w:val="none"/>
          <w:lang w:val="en-US" w:eastAsia="zh-CN"/>
        </w:rPr>
        <w:t>异常低价响应审查。根据《关于推进解决政府采购异常低价问题的通知》（财库〔2026〕2号），</w:t>
      </w:r>
      <w:r>
        <w:rPr>
          <w:rFonts w:hint="eastAsia" w:ascii="宋体" w:hAnsi="宋体" w:cs="Times New Roman"/>
          <w:b/>
          <w:bCs/>
          <w:color w:val="auto"/>
          <w:sz w:val="24"/>
          <w:highlight w:val="none"/>
          <w:lang w:val="en-US" w:eastAsia="zh-CN"/>
        </w:rPr>
        <w:t>谈判</w:t>
      </w:r>
      <w:r>
        <w:rPr>
          <w:rFonts w:hint="eastAsia" w:ascii="宋体" w:hAnsi="宋体" w:eastAsia="宋体" w:cs="Times New Roman"/>
          <w:b/>
          <w:bCs/>
          <w:color w:val="auto"/>
          <w:sz w:val="24"/>
          <w:highlight w:val="none"/>
          <w:lang w:val="en-US" w:eastAsia="zh-CN"/>
        </w:rPr>
        <w:t>小组进行异常低价响应审查。</w:t>
      </w:r>
    </w:p>
    <w:p w14:paraId="4562232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14.4相关说明。</w:t>
      </w:r>
    </w:p>
    <w:p w14:paraId="3AD3A82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14.4.1为保证</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活动顺利进行，供应商可派相关技术人员进行现场答疑。</w:t>
      </w:r>
    </w:p>
    <w:p w14:paraId="70EC8D9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小组根据与供应商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情况可能实质性变动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文件的内容，包括采购需求中的技术、服务要求以及合同草案条款。</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文件有实质性变动的，经采购人代表确认作为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文件的有效组成部分，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小组将以书面形式通知所有参加</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的供应商。</w:t>
      </w:r>
    </w:p>
    <w:p w14:paraId="5586BB5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14.4.3</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Times New Roman"/>
          <w:b/>
          <w:bCs/>
          <w:color w:val="auto"/>
          <w:sz w:val="24"/>
          <w:highlight w:val="none"/>
          <w:lang w:val="en-US" w:eastAsia="zh-CN"/>
        </w:rPr>
        <w:t>响应无效</w:t>
      </w:r>
      <w:r>
        <w:rPr>
          <w:rFonts w:hint="eastAsia" w:ascii="宋体" w:hAnsi="宋体" w:eastAsia="宋体" w:cs="Times New Roman"/>
          <w:color w:val="auto"/>
          <w:sz w:val="24"/>
          <w:highlight w:val="none"/>
          <w:lang w:val="en-US" w:eastAsia="zh-CN"/>
        </w:rPr>
        <w:t>。</w:t>
      </w:r>
    </w:p>
    <w:p w14:paraId="378D0F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14.4.4无论何种原因，即使供应商</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时携带了证书材料的原件，但响应文件中未提供与之内容完全一致的扫描件的，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小组可以视同其未提供。</w:t>
      </w:r>
    </w:p>
    <w:p w14:paraId="5055F4F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14.4.5</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小组决定响应文件的响应性及符合性只根据响应文件本身的内容，而不寻求其他外部证据。</w:t>
      </w:r>
    </w:p>
    <w:p w14:paraId="65539C3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14.5供应商授权代表对</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过程有疑义，以及认为采购人、采购代理机构相关工作人员有需要回避的情形的，应当场提出询问或者回避申请，并说明理由。</w:t>
      </w:r>
    </w:p>
    <w:p w14:paraId="2F63E23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15.终止竞争性谈判</w:t>
      </w:r>
    </w:p>
    <w:p w14:paraId="5E29EEB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15.1出现下列情况之一时，采购人和采购代理机构有权宣布终止竞争性</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采购，并将理由通知所有供应商：</w:t>
      </w:r>
    </w:p>
    <w:p w14:paraId="60D48D7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（1）有效供应商数量不足，导致本次</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缺乏竞争的；</w:t>
      </w:r>
    </w:p>
    <w:p w14:paraId="4DA98F1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（2）出现影响采购公正的违法、违规行为的；</w:t>
      </w:r>
    </w:p>
    <w:p w14:paraId="254F1BC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（3）因重大变故，采购任务取消的；</w:t>
      </w:r>
    </w:p>
    <w:p w14:paraId="1F9DFE4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（4）政府采购法律法规规定的其他情形。</w:t>
      </w:r>
    </w:p>
    <w:p w14:paraId="5D5658AD">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16.响应文件的澄清、说明或更正</w:t>
      </w:r>
    </w:p>
    <w:p w14:paraId="04037D20">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50D6C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16.2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小组要求供应商澄清、说明或者更正响应文件应当以书面形式（询标）作出。供应商的澄清、说明或者更正应当由法定代表人或其授权代表签字或者加盖公章。</w:t>
      </w:r>
    </w:p>
    <w:p w14:paraId="17A40863">
      <w:pPr>
        <w:pageBreakBefore w:val="0"/>
        <w:kinsoku/>
        <w:wordWrap/>
        <w:overflowPunct/>
        <w:topLinePunct w:val="0"/>
        <w:bidi w:val="0"/>
        <w:snapToGrid w:val="0"/>
        <w:spacing w:beforeAutospacing="0" w:afterAutospacing="0" w:line="500" w:lineRule="exact"/>
        <w:ind w:firstLine="241" w:firstLineChars="1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48E7B59A">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17.最后报价</w:t>
      </w:r>
    </w:p>
    <w:p w14:paraId="5EB59CEE">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并不限定只进行二轮报价，如果</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小组认为有必要，可以要求供应商进行多轮报价。</w:t>
      </w:r>
    </w:p>
    <w:p w14:paraId="719EFD7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17.2在</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内容不做实质性变更或重大调整的前提下，供应商下轮报价不得高于上一轮报价。</w:t>
      </w:r>
    </w:p>
    <w:p w14:paraId="6E3BE18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17.3最后报价是供应商响应文件的有效组成部分，最后报价也是签订合同的依据。</w:t>
      </w:r>
    </w:p>
    <w:p w14:paraId="33E0DB4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18.成交候选人的推荐原则及标准</w:t>
      </w:r>
    </w:p>
    <w:p w14:paraId="42A93BD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18.1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小组依据本项目</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文件所约定的评审方法和标准，按照最后报价由低到高的顺序依次推荐成交候选人。最后报价相同的，则由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小组采取随机抽取方式确定。</w:t>
      </w:r>
    </w:p>
    <w:p w14:paraId="092B46A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19.确定成交候选人和成交供应商</w:t>
      </w:r>
    </w:p>
    <w:p w14:paraId="29D60B3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19.1</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小组按照最后报价由低到高的顺序和供应商须知前附表中规定确定成交候选人。按供应商须知前附表中规定，由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小组或采购人确定成交供应商。</w:t>
      </w:r>
    </w:p>
    <w:p w14:paraId="71229C72">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20.编写评审报告</w:t>
      </w:r>
    </w:p>
    <w:p w14:paraId="2693A82D">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20.1评审报告是根据全体</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小组成员签字的原始评审记录和评审结果编写的报告，评审报告由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小组全体成员签字。对评审结论持有异议的</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小组成员可以书面方式阐述其不同意见和理由。</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小组成员拒绝在评审报告上签字且不陈述其不同意见和理由的，视为同意评审结论。</w:t>
      </w:r>
    </w:p>
    <w:p w14:paraId="4479C70F">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21.保密要求</w:t>
      </w:r>
    </w:p>
    <w:p w14:paraId="2A2CEDF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21.1评审将在严格保密的情况下进行。</w:t>
      </w:r>
    </w:p>
    <w:p w14:paraId="4F85A3D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21.2有关人员应当遵守评审工作纪律，不得泄露评审文件、评审情况和评审中获悉的国家秘密、商业秘密。</w:t>
      </w:r>
    </w:p>
    <w:p w14:paraId="150AE60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22.成交结果公告</w:t>
      </w:r>
    </w:p>
    <w:p w14:paraId="4FD790E2">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22.1为体现“公开、公平、公正”的原则，</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结束后，采购代理机构将在桐城师范高等专科学校官网</w:t>
      </w:r>
      <w:r>
        <w:rPr>
          <w:rFonts w:hint="eastAsia" w:asciiTheme="minorEastAsia" w:hAnsiTheme="minorEastAsia" w:eastAsiaTheme="minorEastAsia" w:cstheme="minorEastAsia"/>
          <w:sz w:val="24"/>
          <w:szCs w:val="22"/>
          <w:lang w:val="en-US" w:eastAsia="zh-CN"/>
        </w:rPr>
        <w:t>tctc.edu.cn</w:t>
      </w:r>
      <w:r>
        <w:rPr>
          <w:rFonts w:hint="eastAsia" w:ascii="宋体" w:hAnsi="宋体" w:eastAsia="宋体" w:cs="Times New Roman"/>
          <w:color w:val="auto"/>
          <w:sz w:val="24"/>
          <w:highlight w:val="none"/>
          <w:lang w:val="en-US" w:eastAsia="zh-CN"/>
        </w:rPr>
        <w:t>和安庆市公共资源交易服务网</w:t>
      </w:r>
      <w:r>
        <w:rPr>
          <w:rFonts w:hint="eastAsia" w:asciiTheme="minorEastAsia" w:hAnsiTheme="minorEastAsia" w:eastAsiaTheme="minorEastAsia" w:cstheme="minorEastAsia"/>
          <w:sz w:val="24"/>
          <w:szCs w:val="22"/>
          <w:lang w:val="en-US" w:eastAsia="zh-CN"/>
        </w:rPr>
        <w:t>https://aqggzy.anqing.gov.cn/</w:t>
      </w:r>
      <w:r>
        <w:rPr>
          <w:rFonts w:hint="eastAsia" w:ascii="宋体" w:hAnsi="宋体" w:eastAsia="宋体" w:cs="Times New Roman"/>
          <w:color w:val="auto"/>
          <w:sz w:val="24"/>
          <w:highlight w:val="none"/>
          <w:lang w:val="en-US" w:eastAsia="zh-CN"/>
        </w:rPr>
        <w:t>“限额以下项目”上发布成交结果公告。</w:t>
      </w:r>
    </w:p>
    <w:p w14:paraId="68D564C8">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22.2成交结果公告内容应当包括采购人及其委托的采购代理机构的名称、地址、联系方式，项目名称和项目编号，成交供应商名称、地址和成交金额，主要成交标的的名称、品牌（如有）、规格型号、数量、单价，成交结果公告期限、评审专家名单以及供应商须知前附表中约定进行公告的内容。</w:t>
      </w:r>
    </w:p>
    <w:p w14:paraId="315E763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23.成交通知书</w:t>
      </w:r>
    </w:p>
    <w:p w14:paraId="0709D03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23.1采购代理机构发布成交结果公告的同时以供应商须知前附表规定的形式向成交供应商发出成交通知书。</w:t>
      </w:r>
    </w:p>
    <w:p w14:paraId="1E90744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23.2成交通知书对采购人和成交供应商具有同等法律效力。成交通知书发出以后，采购人改变成交结果或者成交供应商放弃成交资格，应当承担相应的法律责任。</w:t>
      </w:r>
    </w:p>
    <w:p w14:paraId="4712008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23.3成交通知书是合同的组成部分。</w:t>
      </w:r>
    </w:p>
    <w:p w14:paraId="46932AAC">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24.告知谈判结果</w:t>
      </w:r>
    </w:p>
    <w:p w14:paraId="79B8FCF7">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24.1在公告成交结果的同时，采购代理机构同时以供应商须知前附表规定的形式告知未成交供应商本人的排序。</w:t>
      </w:r>
    </w:p>
    <w:p w14:paraId="7A07E4D4">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24.2采购代理机构对未成交的供应商不做未成交原因的解释。</w:t>
      </w:r>
    </w:p>
    <w:p w14:paraId="4CEBA475">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25.履约保证金</w:t>
      </w:r>
    </w:p>
    <w:p w14:paraId="7015E38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25.1成交供应商应按照供应商须知前附表规定缴纳履约保证金。</w:t>
      </w:r>
    </w:p>
    <w:p w14:paraId="2C1CD49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25.2如果成交供应商没有按照上述履约保证金的规定执行，将视为放弃成交资格。在此情况下，采购人可确定下一成交候选人为成交供应商，也可以重新开展采购活动。</w:t>
      </w:r>
    </w:p>
    <w:p w14:paraId="02B218C6">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26.代理费用</w:t>
      </w:r>
    </w:p>
    <w:p w14:paraId="6CB914BC">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26.1本项目代理费用的收取按供应商须知前附表的规定执行。</w:t>
      </w:r>
    </w:p>
    <w:p w14:paraId="456F33E8">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27.签订合同</w:t>
      </w:r>
    </w:p>
    <w:p w14:paraId="226E2533">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27.1采购人与成交供应商应当按照供应商须知前附表规定的时间内完成政府采购合同签订及合同公告。</w:t>
      </w:r>
    </w:p>
    <w:p w14:paraId="0AC727D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27.2</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文件、成交供应商的响应文件及其澄清文件等，均为签订合同的依据。</w:t>
      </w:r>
    </w:p>
    <w:p w14:paraId="170A950F">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27.3 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14:paraId="4DE9F811">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28.廉洁自律规定</w:t>
      </w:r>
    </w:p>
    <w:p w14:paraId="5A14A57A">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28.1采购代理机构工作人员不得以不正当手段获取政府采购代理业务，不得与采购人、供应商恶意串通。</w:t>
      </w:r>
    </w:p>
    <w:p w14:paraId="47E94F1B">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28.2采购代理机构工作人员不得接受采购人或者供应商组织的宴请、旅游、娱乐，不得收受礼品、现金、有价证券等，不得向采购人或者供应商报销应当由个人承担的费用。</w:t>
      </w:r>
    </w:p>
    <w:p w14:paraId="7F2F1047">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29.质疑的提出与接收</w:t>
      </w:r>
    </w:p>
    <w:p w14:paraId="0D40443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29.1供应商认为</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文件、采购过程和成交结果使自己的权益受到损害的，可以在知道或者应知其权益受到损害之日起七个工作日内，以书面形式向采购人或其委托的采购代理机构提出质疑。</w:t>
      </w:r>
    </w:p>
    <w:p w14:paraId="0A44BE29">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38FB1E15">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29.3采购代理机构质疑函接收部门、联系电话和通讯地址，见供应商须知前附表。</w:t>
      </w:r>
    </w:p>
    <w:p w14:paraId="4E139FF3">
      <w:pPr>
        <w:spacing w:beforeAutospacing="0" w:line="360" w:lineRule="auto"/>
        <w:outlineLvl w:val="2"/>
        <w:rPr>
          <w:rFonts w:hint="eastAsia"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30.需要补充的其他内容</w:t>
      </w:r>
    </w:p>
    <w:p w14:paraId="7C2E2DA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需要补充的其他内容，见供应商须知前附表。</w:t>
      </w:r>
    </w:p>
    <w:p w14:paraId="6B85ACF8">
      <w:pPr>
        <w:spacing w:beforeAutospacing="0" w:line="360" w:lineRule="auto"/>
        <w:outlineLvl w:val="2"/>
        <w:rPr>
          <w:rFonts w:hint="default" w:cs="Times New Roman" w:asciiTheme="minorEastAsia" w:hAnsiTheme="minorEastAsia" w:eastAsiaTheme="minorEastAsia"/>
          <w:b/>
          <w:color w:val="auto"/>
          <w:sz w:val="24"/>
          <w:highlight w:val="none"/>
          <w:lang w:val="en-US" w:eastAsia="zh-CN"/>
        </w:rPr>
      </w:pPr>
      <w:r>
        <w:rPr>
          <w:rFonts w:hint="eastAsia" w:cs="Times New Roman" w:asciiTheme="minorEastAsia" w:hAnsiTheme="minorEastAsia" w:eastAsiaTheme="minorEastAsia"/>
          <w:b/>
          <w:color w:val="auto"/>
          <w:sz w:val="24"/>
          <w:highlight w:val="none"/>
          <w:lang w:val="en-US" w:eastAsia="zh-CN"/>
        </w:rPr>
        <w:t>31.备注</w:t>
      </w:r>
    </w:p>
    <w:p w14:paraId="1EFDFFD1">
      <w:pPr>
        <w:spacing w:line="360" w:lineRule="auto"/>
        <w:ind w:firstLine="240" w:firstLineChars="100"/>
        <w:rPr>
          <w:rFonts w:hint="default" w:ascii="宋体" w:hAnsi="宋体" w:eastAsia="宋体" w:cs="Times New Roman"/>
          <w:color w:val="auto"/>
          <w:sz w:val="24"/>
          <w:highlight w:val="none"/>
          <w:lang w:val="en-US" w:eastAsia="zh-CN"/>
        </w:rPr>
        <w:sectPr>
          <w:footerReference r:id="rId8" w:type="default"/>
          <w:pgSz w:w="11906" w:h="16838"/>
          <w:pgMar w:top="1418" w:right="1418" w:bottom="1276" w:left="1418" w:header="680"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Times New Roman"/>
          <w:color w:val="auto"/>
          <w:sz w:val="24"/>
          <w:highlight w:val="none"/>
          <w:lang w:val="en-US" w:eastAsia="zh-CN"/>
        </w:rPr>
        <w:t>本</w:t>
      </w:r>
      <w:r>
        <w:rPr>
          <w:rFonts w:hint="eastAsia" w:ascii="宋体" w:hAnsi="宋体" w:cs="Times New Roman"/>
          <w:color w:val="auto"/>
          <w:sz w:val="24"/>
          <w:highlight w:val="none"/>
          <w:lang w:val="en-US" w:eastAsia="zh-CN"/>
        </w:rPr>
        <w:t>谈判</w:t>
      </w:r>
      <w:r>
        <w:rPr>
          <w:rFonts w:hint="eastAsia" w:ascii="宋体" w:hAnsi="宋体" w:eastAsia="宋体" w:cs="Times New Roman"/>
          <w:color w:val="auto"/>
          <w:sz w:val="24"/>
          <w:highlight w:val="none"/>
          <w:lang w:val="en-US" w:eastAsia="zh-CN"/>
        </w:rPr>
        <w:t>文件第五章合同格式内容以供参考，具体合同内容以采购人与成交供应商所签订的合同为准</w:t>
      </w:r>
      <w:r>
        <w:rPr>
          <w:rFonts w:hint="eastAsia" w:ascii="宋体" w:hAnsi="宋体" w:cs="Times New Roman"/>
          <w:color w:val="auto"/>
          <w:sz w:val="24"/>
          <w:highlight w:val="none"/>
          <w:lang w:val="en-US" w:eastAsia="zh-CN"/>
        </w:rPr>
        <w:t>。</w:t>
      </w:r>
    </w:p>
    <w:bookmarkEnd w:id="39"/>
    <w:bookmarkEnd w:id="40"/>
    <w:bookmarkEnd w:id="41"/>
    <w:bookmarkEnd w:id="42"/>
    <w:bookmarkEnd w:id="43"/>
    <w:bookmarkEnd w:id="44"/>
    <w:bookmarkEnd w:id="45"/>
    <w:p w14:paraId="1C9EA266">
      <w:pPr>
        <w:pStyle w:val="2"/>
        <w:numPr>
          <w:ilvl w:val="0"/>
          <w:numId w:val="0"/>
        </w:numPr>
        <w:spacing w:before="0" w:beforeAutospacing="0" w:afterLines="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第三章 采购需求</w:t>
      </w:r>
      <w:bookmarkEnd w:id="38"/>
    </w:p>
    <w:p w14:paraId="790C77C8">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
          <w:bCs/>
          <w:sz w:val="24"/>
          <w:szCs w:val="24"/>
          <w:lang w:val="en-US" w:eastAsia="zh-CN" w:bidi="ar-SA"/>
        </w:rPr>
      </w:pPr>
      <w:bookmarkStart w:id="48" w:name="_Toc16371"/>
      <w:r>
        <w:rPr>
          <w:rFonts w:hint="eastAsia" w:ascii="宋体" w:hAnsi="宋体" w:eastAsia="宋体" w:cs="宋体"/>
          <w:b/>
          <w:bCs/>
          <w:sz w:val="24"/>
          <w:szCs w:val="24"/>
          <w:lang w:val="en-US" w:eastAsia="zh-CN" w:bidi="ar-SA"/>
        </w:rPr>
        <w:t>一、商务要求</w:t>
      </w:r>
    </w:p>
    <w:tbl>
      <w:tblPr>
        <w:tblStyle w:val="40"/>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402"/>
      </w:tblGrid>
      <w:tr w14:paraId="2E8B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8DA46C7">
            <w:pPr>
              <w:pStyle w:val="20"/>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696E1973">
            <w:pPr>
              <w:pStyle w:val="20"/>
              <w:jc w:val="center"/>
            </w:pPr>
            <w:r>
              <w:rPr>
                <w:rFonts w:hint="eastAsia" w:asciiTheme="minorEastAsia" w:hAnsiTheme="minorEastAsia"/>
                <w:b/>
                <w:bCs/>
                <w:color w:val="auto"/>
                <w:sz w:val="24"/>
                <w:szCs w:val="24"/>
                <w:highlight w:val="none"/>
              </w:rPr>
              <w:t>商务条款</w:t>
            </w:r>
          </w:p>
        </w:tc>
        <w:tc>
          <w:tcPr>
            <w:tcW w:w="5402" w:type="dxa"/>
            <w:vAlign w:val="center"/>
          </w:tcPr>
          <w:p w14:paraId="47D33175">
            <w:pPr>
              <w:pStyle w:val="20"/>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52CD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6" w:hRule="atLeast"/>
          <w:jc w:val="center"/>
        </w:trPr>
        <w:tc>
          <w:tcPr>
            <w:tcW w:w="808" w:type="dxa"/>
            <w:vAlign w:val="center"/>
          </w:tcPr>
          <w:p w14:paraId="328EC7F9">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79BCB755">
            <w:pPr>
              <w:jc w:val="center"/>
              <w:rPr>
                <w:rFonts w:ascii="宋体" w:hAnsi="宋体"/>
                <w:sz w:val="24"/>
              </w:rPr>
            </w:pPr>
            <w:r>
              <w:rPr>
                <w:rFonts w:asciiTheme="minorEastAsia" w:hAnsiTheme="minorEastAsia" w:eastAsiaTheme="minorEastAsia"/>
                <w:color w:val="auto"/>
                <w:sz w:val="24"/>
                <w:highlight w:val="none"/>
              </w:rPr>
              <w:t>付款方式</w:t>
            </w:r>
          </w:p>
        </w:tc>
        <w:tc>
          <w:tcPr>
            <w:tcW w:w="5402" w:type="dxa"/>
            <w:vAlign w:val="center"/>
          </w:tcPr>
          <w:p w14:paraId="305A0035">
            <w:pPr>
              <w:jc w:val="center"/>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完成本项目当年度全部服务内容并验收合格后</w:t>
            </w:r>
          </w:p>
          <w:p w14:paraId="6E3E4F1F">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一次性支付当年度维保费用</w:t>
            </w:r>
          </w:p>
        </w:tc>
      </w:tr>
      <w:tr w14:paraId="333C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jc w:val="center"/>
        </w:trPr>
        <w:tc>
          <w:tcPr>
            <w:tcW w:w="808" w:type="dxa"/>
            <w:vAlign w:val="center"/>
          </w:tcPr>
          <w:p w14:paraId="713ACF7B">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730A712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402" w:type="dxa"/>
            <w:vAlign w:val="center"/>
          </w:tcPr>
          <w:p w14:paraId="1FF2AC46">
            <w:pPr>
              <w:jc w:val="center"/>
              <w:rPr>
                <w:rFonts w:hint="default" w:asciiTheme="minorEastAsia" w:hAnsiTheme="minorEastAsia" w:eastAsiaTheme="minorEastAsia"/>
                <w:sz w:val="24"/>
                <w:lang w:val="en-US" w:eastAsia="zh-CN"/>
              </w:rPr>
            </w:pPr>
            <w:r>
              <w:rPr>
                <w:rFonts w:hint="default" w:asciiTheme="minorEastAsia" w:hAnsiTheme="minorEastAsia" w:eastAsiaTheme="minorEastAsia"/>
                <w:sz w:val="24"/>
                <w:lang w:val="en-US" w:eastAsia="zh-CN"/>
              </w:rPr>
              <w:t>采购人指定地点</w:t>
            </w:r>
          </w:p>
        </w:tc>
      </w:tr>
      <w:tr w14:paraId="665E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808" w:type="dxa"/>
            <w:vAlign w:val="center"/>
          </w:tcPr>
          <w:p w14:paraId="037CB28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68BE855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402" w:type="dxa"/>
            <w:vAlign w:val="center"/>
          </w:tcPr>
          <w:p w14:paraId="6B5FB879">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w:t>
            </w:r>
            <w:r>
              <w:rPr>
                <w:rFonts w:hint="default" w:asciiTheme="minorEastAsia" w:hAnsiTheme="minorEastAsia" w:eastAsiaTheme="minorEastAsia"/>
                <w:sz w:val="24"/>
                <w:lang w:val="en-US" w:eastAsia="zh-CN"/>
              </w:rPr>
              <w:t>年</w:t>
            </w:r>
            <w:r>
              <w:rPr>
                <w:rFonts w:hint="eastAsia" w:asciiTheme="minorEastAsia" w:hAnsiTheme="minorEastAsia" w:eastAsiaTheme="minorEastAsia"/>
                <w:sz w:val="24"/>
                <w:lang w:val="en-US" w:eastAsia="zh-CN"/>
              </w:rPr>
              <w:t>，合同一年一签</w:t>
            </w:r>
          </w:p>
        </w:tc>
      </w:tr>
    </w:tbl>
    <w:p w14:paraId="484C29FE">
      <w:pPr>
        <w:ind w:firstLine="422" w:firstLineChars="200"/>
        <w:rPr>
          <w:rFonts w:ascii="宋体" w:hAnsi="宋体"/>
          <w:b/>
          <w:bCs/>
          <w:szCs w:val="21"/>
        </w:rPr>
      </w:pPr>
    </w:p>
    <w:p w14:paraId="3EB9B7EC">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lang w:eastAsia="zh-CN"/>
        </w:rPr>
      </w:pPr>
      <w:r>
        <w:rPr>
          <w:rFonts w:hint="eastAsia" w:ascii="宋体" w:hAnsi="宋体" w:eastAsia="宋体" w:cs="宋体"/>
          <w:b/>
          <w:bCs/>
          <w:sz w:val="24"/>
          <w:szCs w:val="24"/>
          <w:lang w:val="en-US" w:eastAsia="zh-CN" w:bidi="ar-SA"/>
        </w:rPr>
        <w:t>二、</w:t>
      </w:r>
      <w:r>
        <w:rPr>
          <w:rFonts w:hint="eastAsia" w:ascii="宋体" w:hAnsi="宋体" w:eastAsia="宋体" w:cs="宋体"/>
          <w:bCs/>
          <w:sz w:val="24"/>
          <w:szCs w:val="24"/>
          <w:lang w:val="en-US" w:eastAsia="zh-CN"/>
        </w:rPr>
        <w:t>项目内容</w:t>
      </w:r>
    </w:p>
    <w:p w14:paraId="4760D8D9">
      <w:pPr>
        <w:pageBreakBefore w:val="0"/>
        <w:widowControl w:val="0"/>
        <w:kinsoku/>
        <w:wordWrap/>
        <w:overflowPunct/>
        <w:topLinePunct w:val="0"/>
        <w:autoSpaceDE/>
        <w:autoSpaceDN/>
        <w:bidi w:val="0"/>
        <w:adjustRightInd/>
        <w:snapToGrid/>
        <w:spacing w:line="58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color w:val="1C1B10"/>
          <w:sz w:val="24"/>
          <w:szCs w:val="24"/>
          <w:lang w:val="en-US" w:eastAsia="zh-CN"/>
        </w:rPr>
        <w:t>1</w:t>
      </w:r>
      <w:r>
        <w:rPr>
          <w:rFonts w:hint="eastAsia" w:ascii="宋体" w:hAnsi="宋体" w:eastAsia="宋体" w:cs="宋体"/>
          <w:color w:val="1C1B10"/>
          <w:sz w:val="24"/>
          <w:szCs w:val="24"/>
        </w:rPr>
        <w:t>、项目</w:t>
      </w:r>
      <w:r>
        <w:rPr>
          <w:rFonts w:hint="eastAsia" w:ascii="宋体" w:hAnsi="宋体" w:eastAsia="宋体" w:cs="宋体"/>
          <w:color w:val="1C1B10"/>
          <w:sz w:val="24"/>
          <w:szCs w:val="24"/>
          <w:lang w:val="en-US" w:eastAsia="zh-CN"/>
        </w:rPr>
        <w:t>需求</w:t>
      </w:r>
      <w:r>
        <w:rPr>
          <w:rFonts w:hint="eastAsia" w:ascii="宋体" w:hAnsi="宋体" w:eastAsia="宋体" w:cs="宋体"/>
          <w:color w:val="1C1B10"/>
          <w:sz w:val="24"/>
          <w:szCs w:val="24"/>
        </w:rPr>
        <w:t>：</w:t>
      </w:r>
      <w:r>
        <w:rPr>
          <w:rFonts w:hint="eastAsia" w:ascii="宋体" w:hAnsi="宋体" w:eastAsia="宋体" w:cs="宋体"/>
          <w:color w:val="1C1B10"/>
          <w:sz w:val="24"/>
          <w:szCs w:val="24"/>
          <w:lang w:val="en-US" w:eastAsia="zh-CN"/>
        </w:rPr>
        <w:t>12台电梯维保服务。具体见下表：</w:t>
      </w:r>
    </w:p>
    <w:tbl>
      <w:tblPr>
        <w:tblStyle w:val="40"/>
        <w:tblW w:w="9457" w:type="dxa"/>
        <w:jc w:val="center"/>
        <w:tblLayout w:type="fixed"/>
        <w:tblCellMar>
          <w:top w:w="0" w:type="dxa"/>
          <w:left w:w="0" w:type="dxa"/>
          <w:bottom w:w="0" w:type="dxa"/>
          <w:right w:w="0" w:type="dxa"/>
        </w:tblCellMar>
      </w:tblPr>
      <w:tblGrid>
        <w:gridCol w:w="621"/>
        <w:gridCol w:w="2537"/>
        <w:gridCol w:w="3029"/>
        <w:gridCol w:w="930"/>
        <w:gridCol w:w="1218"/>
        <w:gridCol w:w="1122"/>
      </w:tblGrid>
      <w:tr w14:paraId="5584BC62">
        <w:tblPrEx>
          <w:tblCellMar>
            <w:top w:w="0" w:type="dxa"/>
            <w:left w:w="0" w:type="dxa"/>
            <w:bottom w:w="0" w:type="dxa"/>
            <w:right w:w="0" w:type="dxa"/>
          </w:tblCellMar>
        </w:tblPrEx>
        <w:trPr>
          <w:trHeight w:val="677" w:hRule="exact"/>
          <w:jc w:val="center"/>
        </w:trPr>
        <w:tc>
          <w:tcPr>
            <w:tcW w:w="62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3DA9FF">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253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EA7EAC">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梯号</w:t>
            </w:r>
          </w:p>
        </w:tc>
        <w:tc>
          <w:tcPr>
            <w:tcW w:w="302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6AE4D9C">
            <w:pPr>
              <w:keepNext w:val="0"/>
              <w:keepLines w:val="0"/>
              <w:widowControl/>
              <w:suppressLineNumbers w:val="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品牌</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1F2E1F">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层站</w:t>
            </w:r>
          </w:p>
          <w:p w14:paraId="6FDA604A">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门数</w:t>
            </w:r>
          </w:p>
        </w:tc>
        <w:tc>
          <w:tcPr>
            <w:tcW w:w="12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E69A5C">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数量</w:t>
            </w:r>
          </w:p>
          <w:p w14:paraId="7B7CC4B5">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（台）</w:t>
            </w:r>
          </w:p>
        </w:tc>
        <w:tc>
          <w:tcPr>
            <w:tcW w:w="112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88F7786">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位置</w:t>
            </w:r>
          </w:p>
        </w:tc>
      </w:tr>
      <w:tr w14:paraId="4217AC84">
        <w:tblPrEx>
          <w:tblCellMar>
            <w:top w:w="0" w:type="dxa"/>
            <w:left w:w="0" w:type="dxa"/>
            <w:bottom w:w="0" w:type="dxa"/>
            <w:right w:w="0" w:type="dxa"/>
          </w:tblCellMar>
        </w:tblPrEx>
        <w:trPr>
          <w:trHeight w:val="651" w:hRule="atLeast"/>
          <w:jc w:val="center"/>
        </w:trPr>
        <w:tc>
          <w:tcPr>
            <w:tcW w:w="621"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9AE2E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537"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CE117C2">
            <w:pPr>
              <w:keepNext w:val="0"/>
              <w:keepLines w:val="0"/>
              <w:widowControl/>
              <w:suppressLineNumbers w:val="0"/>
              <w:jc w:val="center"/>
              <w:textAlignment w:val="center"/>
              <w:rPr>
                <w:rFonts w:hint="eastAsia" w:ascii="宋体" w:hAnsi="宋体" w:eastAsia="宋体" w:cs="宋体"/>
                <w:i w:val="0"/>
                <w:color w:val="333333"/>
                <w:sz w:val="24"/>
                <w:szCs w:val="24"/>
                <w:u w:val="none"/>
              </w:rPr>
            </w:pPr>
            <w:r>
              <w:rPr>
                <w:rFonts w:hint="eastAsia" w:ascii="宋体" w:hAnsi="宋体" w:eastAsia="宋体" w:cs="宋体"/>
                <w:i w:val="0"/>
                <w:color w:val="333333"/>
                <w:kern w:val="0"/>
                <w:sz w:val="24"/>
                <w:szCs w:val="24"/>
                <w:u w:val="none"/>
                <w:lang w:val="en-US" w:eastAsia="zh-CN" w:bidi="ar"/>
              </w:rPr>
              <w:t>E/30064729.001-002</w:t>
            </w:r>
          </w:p>
        </w:tc>
        <w:tc>
          <w:tcPr>
            <w:tcW w:w="30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7775E">
            <w:pPr>
              <w:keepNext w:val="0"/>
              <w:keepLines w:val="0"/>
              <w:widowControl/>
              <w:suppressLineNumbers w:val="0"/>
              <w:jc w:val="center"/>
              <w:textAlignment w:val="center"/>
              <w:rPr>
                <w:rFonts w:hint="eastAsia" w:ascii="宋体" w:hAnsi="宋体" w:eastAsia="宋体" w:cs="宋体"/>
                <w:i w:val="0"/>
                <w:color w:val="333333"/>
                <w:sz w:val="24"/>
                <w:szCs w:val="24"/>
                <w:u w:val="none"/>
                <w:lang w:val="en-US"/>
              </w:rPr>
            </w:pPr>
            <w:r>
              <w:rPr>
                <w:rFonts w:hint="eastAsia" w:ascii="宋体" w:hAnsi="宋体" w:eastAsia="宋体" w:cs="宋体"/>
                <w:i w:val="0"/>
                <w:color w:val="333333"/>
                <w:kern w:val="0"/>
                <w:sz w:val="24"/>
                <w:szCs w:val="24"/>
                <w:u w:val="none"/>
                <w:lang w:val="en-US" w:eastAsia="zh-CN" w:bidi="ar"/>
              </w:rPr>
              <w:t>蒂升电梯（中国）有限公司</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0FD71">
            <w:pPr>
              <w:keepNext w:val="0"/>
              <w:keepLines w:val="0"/>
              <w:widowControl/>
              <w:suppressLineNumbers w:val="0"/>
              <w:jc w:val="center"/>
              <w:textAlignment w:val="center"/>
              <w:rPr>
                <w:rFonts w:hint="eastAsia" w:ascii="宋体" w:hAnsi="宋体" w:eastAsia="宋体" w:cs="宋体"/>
                <w:i w:val="0"/>
                <w:color w:val="333333"/>
                <w:sz w:val="24"/>
                <w:szCs w:val="24"/>
                <w:u w:val="none"/>
              </w:rPr>
            </w:pPr>
            <w:r>
              <w:rPr>
                <w:rFonts w:hint="eastAsia" w:ascii="宋体" w:hAnsi="宋体" w:eastAsia="宋体" w:cs="宋体"/>
                <w:i w:val="0"/>
                <w:color w:val="333333"/>
                <w:kern w:val="0"/>
                <w:sz w:val="24"/>
                <w:szCs w:val="24"/>
                <w:u w:val="none"/>
                <w:lang w:val="en-US" w:eastAsia="zh-CN" w:bidi="ar"/>
              </w:rPr>
              <w:t>6/6</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24FC9">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4679B">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明德楼</w:t>
            </w:r>
          </w:p>
        </w:tc>
      </w:tr>
      <w:tr w14:paraId="1FB72768">
        <w:tblPrEx>
          <w:tblCellMar>
            <w:top w:w="0" w:type="dxa"/>
            <w:left w:w="0" w:type="dxa"/>
            <w:bottom w:w="0" w:type="dxa"/>
            <w:right w:w="0" w:type="dxa"/>
          </w:tblCellMar>
        </w:tblPrEx>
        <w:trPr>
          <w:trHeight w:val="651" w:hRule="atLeast"/>
          <w:jc w:val="center"/>
        </w:trPr>
        <w:tc>
          <w:tcPr>
            <w:tcW w:w="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FEDC8">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2</w:t>
            </w:r>
          </w:p>
        </w:tc>
        <w:tc>
          <w:tcPr>
            <w:tcW w:w="2537"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36C919E">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E/30064729.003-004</w:t>
            </w:r>
          </w:p>
        </w:tc>
        <w:tc>
          <w:tcPr>
            <w:tcW w:w="3029"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19CFD0F">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蒂升电梯（中国）有限公司</w:t>
            </w:r>
          </w:p>
        </w:tc>
        <w:tc>
          <w:tcPr>
            <w:tcW w:w="93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48664292">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3/3</w:t>
            </w:r>
          </w:p>
        </w:tc>
        <w:tc>
          <w:tcPr>
            <w:tcW w:w="1218"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45E4CEAE">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2</w:t>
            </w:r>
          </w:p>
        </w:tc>
        <w:tc>
          <w:tcPr>
            <w:tcW w:w="1122"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5F99739">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食堂</w:t>
            </w:r>
          </w:p>
        </w:tc>
      </w:tr>
      <w:tr w14:paraId="49553E77">
        <w:tblPrEx>
          <w:tblCellMar>
            <w:top w:w="0" w:type="dxa"/>
            <w:left w:w="0" w:type="dxa"/>
            <w:bottom w:w="0" w:type="dxa"/>
            <w:right w:w="0" w:type="dxa"/>
          </w:tblCellMar>
        </w:tblPrEx>
        <w:trPr>
          <w:trHeight w:val="651" w:hRule="atLeast"/>
          <w:jc w:val="center"/>
        </w:trPr>
        <w:tc>
          <w:tcPr>
            <w:tcW w:w="621"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6053D422">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2537"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61FFD794">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E/30064729.005-008</w:t>
            </w:r>
          </w:p>
        </w:tc>
        <w:tc>
          <w:tcPr>
            <w:tcW w:w="3029"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53E8E635">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蒂升电梯（中国）有限公司</w:t>
            </w:r>
          </w:p>
        </w:tc>
        <w:tc>
          <w:tcPr>
            <w:tcW w:w="93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490C1F5">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9/9</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0824B">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4DEE28">
            <w:pPr>
              <w:keepNext w:val="0"/>
              <w:keepLines w:val="0"/>
              <w:widowControl/>
              <w:suppressLineNumbers w:val="0"/>
              <w:jc w:val="center"/>
              <w:textAlignment w:val="center"/>
              <w:rPr>
                <w:rFonts w:hint="eastAsia" w:ascii="宋体" w:hAnsi="宋体" w:eastAsia="宋体" w:cs="宋体"/>
                <w:i w:val="0"/>
                <w:color w:val="333333"/>
                <w:kern w:val="0"/>
                <w:sz w:val="24"/>
                <w:szCs w:val="24"/>
                <w:u w:val="none"/>
                <w:lang w:val="en-US" w:eastAsia="zh-CN" w:bidi="ar"/>
              </w:rPr>
            </w:pPr>
            <w:r>
              <w:rPr>
                <w:rFonts w:hint="eastAsia" w:ascii="宋体" w:hAnsi="宋体" w:eastAsia="宋体" w:cs="宋体"/>
                <w:i w:val="0"/>
                <w:color w:val="333333"/>
                <w:kern w:val="0"/>
                <w:sz w:val="24"/>
                <w:szCs w:val="24"/>
                <w:u w:val="none"/>
                <w:lang w:val="en-US" w:eastAsia="zh-CN" w:bidi="ar"/>
              </w:rPr>
              <w:t>毓秀楼</w:t>
            </w:r>
          </w:p>
        </w:tc>
      </w:tr>
      <w:tr w14:paraId="4887FEAD">
        <w:tblPrEx>
          <w:tblCellMar>
            <w:top w:w="0" w:type="dxa"/>
            <w:left w:w="0" w:type="dxa"/>
            <w:bottom w:w="0" w:type="dxa"/>
            <w:right w:w="0" w:type="dxa"/>
          </w:tblCellMar>
        </w:tblPrEx>
        <w:trPr>
          <w:trHeight w:val="651" w:hRule="atLeast"/>
          <w:jc w:val="center"/>
        </w:trPr>
        <w:tc>
          <w:tcPr>
            <w:tcW w:w="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F037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5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B45531">
            <w:pPr>
              <w:keepNext w:val="0"/>
              <w:keepLines w:val="0"/>
              <w:widowControl/>
              <w:suppressLineNumbers w:val="0"/>
              <w:jc w:val="center"/>
              <w:textAlignment w:val="center"/>
              <w:rPr>
                <w:rFonts w:hint="eastAsia" w:ascii="宋体" w:hAnsi="宋体" w:eastAsia="宋体" w:cs="宋体"/>
                <w:i w:val="0"/>
                <w:color w:val="000000"/>
                <w:sz w:val="24"/>
                <w:szCs w:val="24"/>
                <w:u w:val="none"/>
                <w:lang w:val="en-US"/>
              </w:rPr>
            </w:pPr>
            <w:r>
              <w:rPr>
                <w:rFonts w:hint="eastAsia" w:ascii="宋体" w:hAnsi="宋体" w:eastAsia="宋体" w:cs="宋体"/>
                <w:i w:val="0"/>
                <w:color w:val="333333"/>
                <w:kern w:val="0"/>
                <w:sz w:val="24"/>
                <w:szCs w:val="24"/>
                <w:u w:val="none"/>
                <w:lang w:val="en-US" w:eastAsia="zh-CN" w:bidi="ar"/>
              </w:rPr>
              <w:t>E/30064729.009-0012</w:t>
            </w:r>
          </w:p>
        </w:tc>
        <w:tc>
          <w:tcPr>
            <w:tcW w:w="30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D5F4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333333"/>
                <w:kern w:val="0"/>
                <w:sz w:val="24"/>
                <w:szCs w:val="24"/>
                <w:u w:val="none"/>
                <w:lang w:val="en-US" w:eastAsia="zh-CN" w:bidi="ar"/>
              </w:rPr>
              <w:t>蒂升电梯（中国）有限公司</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FC8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4/4</w:t>
            </w:r>
          </w:p>
        </w:tc>
        <w:tc>
          <w:tcPr>
            <w:tcW w:w="12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125C9">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11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AB42E">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惜抱楼</w:t>
            </w:r>
          </w:p>
        </w:tc>
      </w:tr>
      <w:tr w14:paraId="5BF46BFC">
        <w:tblPrEx>
          <w:tblCellMar>
            <w:top w:w="0" w:type="dxa"/>
            <w:left w:w="0" w:type="dxa"/>
            <w:bottom w:w="0" w:type="dxa"/>
            <w:right w:w="0" w:type="dxa"/>
          </w:tblCellMar>
        </w:tblPrEx>
        <w:trPr>
          <w:trHeight w:val="579" w:hRule="exact"/>
          <w:jc w:val="center"/>
        </w:trPr>
        <w:tc>
          <w:tcPr>
            <w:tcW w:w="6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90C8F">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合计</w:t>
            </w:r>
          </w:p>
        </w:tc>
        <w:tc>
          <w:tcPr>
            <w:tcW w:w="883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2711E8">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12台</w:t>
            </w:r>
          </w:p>
        </w:tc>
      </w:tr>
    </w:tbl>
    <w:p w14:paraId="2D88A518">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color w:val="1C1B10"/>
          <w:sz w:val="24"/>
          <w:szCs w:val="24"/>
        </w:rPr>
      </w:pPr>
      <w:r>
        <w:rPr>
          <w:rFonts w:hint="eastAsia" w:ascii="宋体" w:hAnsi="宋体" w:eastAsia="宋体" w:cs="宋体"/>
          <w:color w:val="1C1B10"/>
          <w:sz w:val="24"/>
          <w:szCs w:val="24"/>
          <w:lang w:val="en-US" w:eastAsia="zh-CN"/>
        </w:rPr>
        <w:t>2、维保</w:t>
      </w:r>
      <w:r>
        <w:rPr>
          <w:rFonts w:hint="eastAsia" w:ascii="宋体" w:hAnsi="宋体" w:eastAsia="宋体" w:cs="宋体"/>
          <w:color w:val="1C1B10"/>
          <w:sz w:val="24"/>
          <w:szCs w:val="24"/>
          <w:lang w:eastAsia="zh-CN"/>
        </w:rPr>
        <w:t>服务内容及要求</w:t>
      </w:r>
      <w:r>
        <w:rPr>
          <w:rFonts w:hint="eastAsia" w:ascii="宋体" w:hAnsi="宋体" w:eastAsia="宋体" w:cs="宋体"/>
          <w:color w:val="1C1B10"/>
          <w:sz w:val="24"/>
          <w:szCs w:val="24"/>
        </w:rPr>
        <w:t>：</w:t>
      </w:r>
    </w:p>
    <w:p w14:paraId="31E51F4D">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2.1要求按国家相关规范及院内电梯实际运行需求落实电梯日常维修、维护、保养、应急演练、日常安全管理、年度检测、检测校验等服务。</w:t>
      </w:r>
    </w:p>
    <w:p w14:paraId="224BE793">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2.2中标人须按下列标准及要求进行电梯维护保养：</w:t>
      </w:r>
    </w:p>
    <w:p w14:paraId="0F04E77C">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①TSG T5002-2017 《电梯维护保养规则》；</w:t>
      </w:r>
    </w:p>
    <w:p w14:paraId="29E6A44C">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②GB/T 18775-2009 《电梯、自动扶梯和自动人行道维修规范》；</w:t>
      </w:r>
    </w:p>
    <w:p w14:paraId="3D24BD38">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③TSG T7001-2009 《电梯监督检验和定期检验规则—曳引与强制驱动电梯》</w:t>
      </w:r>
    </w:p>
    <w:p w14:paraId="11459140">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④电梯安装使用维护说明书；</w:t>
      </w:r>
    </w:p>
    <w:p w14:paraId="77332C83">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⑤安庆市电梯安全监察办法；</w:t>
      </w:r>
    </w:p>
    <w:p w14:paraId="0ADEAC96">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⑥本次招标文件、投标文件、合同。</w:t>
      </w:r>
    </w:p>
    <w:p w14:paraId="73F0C5A6">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包括但不限于以上标准规范，若服务期内出台新的标准和规范，中标人须无条件执行。</w:t>
      </w:r>
    </w:p>
    <w:p w14:paraId="2700A06E">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2.3中标人负责电梯日常维护保养，按规范及招标人要求完成电梯每半月、每季度、每半年的维保项目，及时处理电梯故障及困人事件，确保电梯安全、舒适、可靠的运行。</w:t>
      </w:r>
    </w:p>
    <w:p w14:paraId="4BA9172E">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2.4</w:t>
      </w:r>
      <w:r>
        <w:rPr>
          <w:rFonts w:hint="eastAsia" w:ascii="宋体" w:hAnsi="宋体" w:eastAsia="宋体" w:cs="宋体"/>
          <w:kern w:val="2"/>
          <w:sz w:val="24"/>
          <w:szCs w:val="24"/>
        </w:rPr>
        <w:t>电梯的日检查保养</w:t>
      </w:r>
      <w:r>
        <w:rPr>
          <w:rFonts w:hint="eastAsia" w:ascii="宋体" w:hAnsi="宋体" w:eastAsia="宋体" w:cs="宋体"/>
          <w:kern w:val="2"/>
          <w:sz w:val="24"/>
          <w:szCs w:val="24"/>
          <w:lang w:eastAsia="zh-CN"/>
        </w:rPr>
        <w:t>项目：</w:t>
      </w:r>
      <w:r>
        <w:rPr>
          <w:rFonts w:hint="eastAsia" w:ascii="宋体" w:hAnsi="宋体" w:eastAsia="宋体" w:cs="宋体"/>
          <w:kern w:val="2"/>
          <w:sz w:val="24"/>
          <w:szCs w:val="24"/>
        </w:rPr>
        <w:t>检查电动机温升、油位、油色和电动机的声音是否正常,有无异味、异常响声和振动,风机是否运转良好,做好外部清洁工作。检查减速器传动有无异常声音和振动,联结轴是否渗油,做好外部清洁工作。检查制动器线圈温升</w:t>
      </w:r>
      <w:r>
        <w:rPr>
          <w:rFonts w:hint="eastAsia" w:ascii="宋体" w:hAnsi="宋体" w:eastAsia="宋体" w:cs="宋体"/>
          <w:kern w:val="2"/>
          <w:sz w:val="24"/>
          <w:szCs w:val="24"/>
          <w:lang w:val="en-US" w:eastAsia="zh-CN"/>
        </w:rPr>
        <w:t>是否正常</w:t>
      </w:r>
      <w:r>
        <w:rPr>
          <w:rFonts w:hint="eastAsia" w:ascii="宋体" w:hAnsi="宋体" w:eastAsia="宋体" w:cs="宋体"/>
          <w:kern w:val="2"/>
          <w:sz w:val="24"/>
          <w:szCs w:val="24"/>
        </w:rPr>
        <w:t>,检查制动轮、闸瓦、传动臂是否工作正常。检查继电器、接触器动作是否正常,有无异味及异常响声。检查曳引轮、曳引绳、限速器、导向轮、抗绳轮、反绳轮、涨绳轮运行是否正常,有无异常声响,有无曳引绳断丝等。检查变压器、电阻器、电抗器有无过热。检查机房温度是否符合规定需求,保持机房清洁状况良好,机房不得堆放易燃和腐蚀性物品,消防器材齐备良好,去往进房的通道应畅通,通讯设施良好,机房照明是否正常。</w:t>
      </w:r>
      <w:r>
        <w:rPr>
          <w:rFonts w:hint="eastAsia" w:ascii="宋体" w:hAnsi="宋体" w:eastAsia="宋体" w:cs="宋体"/>
          <w:kern w:val="2"/>
          <w:sz w:val="24"/>
          <w:szCs w:val="24"/>
          <w:lang w:val="en-US" w:eastAsia="zh-CN"/>
        </w:rPr>
        <w:t>对自动扶梯上下部机房、安全装置、扶手驱动装置进行检查、调整、润滑和清洁。包括但不限于以上日检内容及要求。</w:t>
      </w:r>
      <w:r>
        <w:rPr>
          <w:rFonts w:hint="eastAsia" w:ascii="宋体" w:hAnsi="宋体" w:eastAsia="宋体" w:cs="宋体"/>
          <w:kern w:val="2"/>
          <w:sz w:val="24"/>
          <w:szCs w:val="24"/>
        </w:rPr>
        <w:t>如有不正常现象应立即停梯进行修理,调整或更换。暂时不能处理而又允许暂缓处理的应跟踪运行,观察其发展情况,防止发生事故</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若发现严重现象应立即</w:t>
      </w:r>
      <w:r>
        <w:rPr>
          <w:rFonts w:hint="eastAsia" w:ascii="宋体" w:hAnsi="宋体" w:eastAsia="宋体" w:cs="宋体"/>
          <w:kern w:val="2"/>
          <w:sz w:val="24"/>
          <w:szCs w:val="24"/>
        </w:rPr>
        <w:fldChar w:fldCharType="begin"/>
      </w:r>
      <w:r>
        <w:rPr>
          <w:rFonts w:hint="eastAsia" w:ascii="宋体" w:hAnsi="宋体" w:eastAsia="宋体" w:cs="宋体"/>
          <w:kern w:val="2"/>
          <w:sz w:val="24"/>
          <w:szCs w:val="24"/>
        </w:rPr>
        <w:instrText xml:space="preserve"> HYPERLINK "http://www.fdcew.com/gw/List_202.html" \t "http://www.fdcew.com/hypx/zgc/_blank" </w:instrText>
      </w:r>
      <w:r>
        <w:rPr>
          <w:rFonts w:hint="eastAsia" w:ascii="宋体" w:hAnsi="宋体" w:eastAsia="宋体" w:cs="宋体"/>
          <w:kern w:val="2"/>
          <w:sz w:val="24"/>
          <w:szCs w:val="24"/>
        </w:rPr>
        <w:fldChar w:fldCharType="separate"/>
      </w:r>
      <w:r>
        <w:rPr>
          <w:rFonts w:hint="eastAsia" w:ascii="宋体" w:hAnsi="宋体" w:eastAsia="宋体" w:cs="宋体"/>
          <w:kern w:val="2"/>
          <w:sz w:val="24"/>
          <w:szCs w:val="24"/>
        </w:rPr>
        <w:t>报告</w:t>
      </w:r>
      <w:r>
        <w:rPr>
          <w:rFonts w:hint="eastAsia" w:ascii="宋体" w:hAnsi="宋体" w:eastAsia="宋体" w:cs="宋体"/>
          <w:kern w:val="2"/>
          <w:sz w:val="24"/>
          <w:szCs w:val="24"/>
        </w:rPr>
        <w:fldChar w:fldCharType="end"/>
      </w:r>
      <w:r>
        <w:rPr>
          <w:rFonts w:hint="eastAsia" w:ascii="宋体" w:hAnsi="宋体" w:eastAsia="宋体" w:cs="宋体"/>
          <w:kern w:val="2"/>
          <w:sz w:val="24"/>
          <w:szCs w:val="24"/>
          <w:lang w:eastAsia="zh-CN"/>
        </w:rPr>
        <w:t>招标人</w:t>
      </w:r>
      <w:r>
        <w:rPr>
          <w:rFonts w:hint="eastAsia" w:ascii="宋体" w:hAnsi="宋体" w:eastAsia="宋体" w:cs="宋体"/>
          <w:kern w:val="2"/>
          <w:sz w:val="24"/>
          <w:szCs w:val="24"/>
        </w:rPr>
        <w:t>主管部门进行停</w:t>
      </w:r>
      <w:r>
        <w:rPr>
          <w:rFonts w:hint="eastAsia" w:ascii="宋体" w:hAnsi="宋体" w:eastAsia="宋体" w:cs="宋体"/>
          <w:kern w:val="2"/>
          <w:sz w:val="24"/>
          <w:szCs w:val="24"/>
          <w:lang w:val="en-US" w:eastAsia="zh-CN"/>
        </w:rPr>
        <w:t>梯</w:t>
      </w:r>
      <w:r>
        <w:rPr>
          <w:rFonts w:hint="eastAsia" w:ascii="宋体" w:hAnsi="宋体" w:eastAsia="宋体" w:cs="宋体"/>
          <w:kern w:val="2"/>
          <w:sz w:val="24"/>
          <w:szCs w:val="24"/>
        </w:rPr>
        <w:t>修理。</w:t>
      </w:r>
    </w:p>
    <w:p w14:paraId="2A12D1C5">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2.5</w:t>
      </w:r>
      <w:r>
        <w:rPr>
          <w:rFonts w:hint="eastAsia" w:ascii="宋体" w:hAnsi="宋体" w:eastAsia="宋体" w:cs="宋体"/>
          <w:kern w:val="2"/>
          <w:sz w:val="24"/>
          <w:szCs w:val="24"/>
        </w:rPr>
        <w:t>电梯的周检查保养</w:t>
      </w:r>
      <w:r>
        <w:rPr>
          <w:rFonts w:hint="eastAsia" w:ascii="宋体" w:hAnsi="宋体" w:eastAsia="宋体" w:cs="宋体"/>
          <w:kern w:val="2"/>
          <w:sz w:val="24"/>
          <w:szCs w:val="24"/>
          <w:lang w:eastAsia="zh-CN"/>
        </w:rPr>
        <w:t>项目：</w:t>
      </w:r>
      <w:r>
        <w:rPr>
          <w:rFonts w:hint="eastAsia" w:ascii="宋体" w:hAnsi="宋体" w:eastAsia="宋体" w:cs="宋体"/>
          <w:kern w:val="2"/>
          <w:sz w:val="24"/>
          <w:szCs w:val="24"/>
        </w:rPr>
        <w:t>检查抱闸间隙,抱闸间隙应保证在0.7mm之内且均匀,间隙过大时应予以调整,紧固连接螺栓</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检查安全装置的工作情况,发现问题及时处理</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检查调整电梯的平层装置。检查轿内按钮动作情况。检查轿内信号(指示器、蜂鸣器</w:t>
      </w:r>
      <w:r>
        <w:rPr>
          <w:rFonts w:hint="eastAsia" w:ascii="宋体" w:hAnsi="宋体" w:eastAsia="宋体" w:cs="宋体"/>
          <w:kern w:val="2"/>
          <w:sz w:val="24"/>
          <w:szCs w:val="24"/>
          <w:lang w:eastAsia="zh-CN"/>
        </w:rPr>
        <w:t>、对讲系统</w:t>
      </w:r>
      <w:r>
        <w:rPr>
          <w:rFonts w:hint="eastAsia" w:ascii="宋体" w:hAnsi="宋体" w:eastAsia="宋体" w:cs="宋体"/>
          <w:kern w:val="2"/>
          <w:sz w:val="24"/>
          <w:szCs w:val="24"/>
        </w:rPr>
        <w:t>等)。检查轿门开关工作情况及完好性</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检查轿内风扇及照明工作情况及完好性。检查曳引绳的工作情况及连接情况是否正常。</w:t>
      </w:r>
      <w:r>
        <w:rPr>
          <w:rFonts w:hint="eastAsia" w:ascii="宋体" w:hAnsi="宋体" w:eastAsia="宋体" w:cs="宋体"/>
          <w:kern w:val="2"/>
          <w:sz w:val="24"/>
          <w:szCs w:val="24"/>
          <w:lang w:val="en-US" w:eastAsia="zh-CN"/>
        </w:rPr>
        <w:t>包括但不限于以上周检内容及要求。</w:t>
      </w:r>
      <w:r>
        <w:rPr>
          <w:rFonts w:hint="eastAsia" w:ascii="宋体" w:hAnsi="宋体" w:eastAsia="宋体" w:cs="宋体"/>
          <w:kern w:val="2"/>
          <w:sz w:val="24"/>
          <w:szCs w:val="24"/>
        </w:rPr>
        <w:t>如有不正常现象应立即停梯进行修理,调整或更换。暂时不能处理而又允许暂缓处理的应跟踪运行,观察其发展情况,防止发生事故</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若发现严重现象应立即</w:t>
      </w:r>
      <w:r>
        <w:rPr>
          <w:rFonts w:hint="eastAsia" w:ascii="宋体" w:hAnsi="宋体" w:eastAsia="宋体" w:cs="宋体"/>
          <w:kern w:val="2"/>
          <w:sz w:val="24"/>
          <w:szCs w:val="24"/>
        </w:rPr>
        <w:fldChar w:fldCharType="begin"/>
      </w:r>
      <w:r>
        <w:rPr>
          <w:rFonts w:hint="eastAsia" w:ascii="宋体" w:hAnsi="宋体" w:eastAsia="宋体" w:cs="宋体"/>
          <w:kern w:val="2"/>
          <w:sz w:val="24"/>
          <w:szCs w:val="24"/>
        </w:rPr>
        <w:instrText xml:space="preserve"> HYPERLINK "http://www.fdcew.com/gw/List_202.html" \t "http://www.fdcew.com/hypx/zgc/_blank" </w:instrText>
      </w:r>
      <w:r>
        <w:rPr>
          <w:rFonts w:hint="eastAsia" w:ascii="宋体" w:hAnsi="宋体" w:eastAsia="宋体" w:cs="宋体"/>
          <w:kern w:val="2"/>
          <w:sz w:val="24"/>
          <w:szCs w:val="24"/>
        </w:rPr>
        <w:fldChar w:fldCharType="separate"/>
      </w:r>
      <w:r>
        <w:rPr>
          <w:rFonts w:hint="eastAsia" w:ascii="宋体" w:hAnsi="宋体" w:eastAsia="宋体" w:cs="宋体"/>
          <w:kern w:val="2"/>
          <w:sz w:val="24"/>
          <w:szCs w:val="24"/>
        </w:rPr>
        <w:t>报告</w:t>
      </w:r>
      <w:r>
        <w:rPr>
          <w:rFonts w:hint="eastAsia" w:ascii="宋体" w:hAnsi="宋体" w:eastAsia="宋体" w:cs="宋体"/>
          <w:kern w:val="2"/>
          <w:sz w:val="24"/>
          <w:szCs w:val="24"/>
        </w:rPr>
        <w:fldChar w:fldCharType="end"/>
      </w:r>
      <w:r>
        <w:rPr>
          <w:rFonts w:hint="eastAsia" w:ascii="宋体" w:hAnsi="宋体" w:eastAsia="宋体" w:cs="宋体"/>
          <w:kern w:val="2"/>
          <w:sz w:val="24"/>
          <w:szCs w:val="24"/>
          <w:lang w:eastAsia="zh-CN"/>
        </w:rPr>
        <w:t>招标人</w:t>
      </w:r>
      <w:r>
        <w:rPr>
          <w:rFonts w:hint="eastAsia" w:ascii="宋体" w:hAnsi="宋体" w:eastAsia="宋体" w:cs="宋体"/>
          <w:kern w:val="2"/>
          <w:sz w:val="24"/>
          <w:szCs w:val="24"/>
        </w:rPr>
        <w:t>主管部门进行停</w:t>
      </w:r>
      <w:r>
        <w:rPr>
          <w:rFonts w:hint="eastAsia" w:ascii="宋体" w:hAnsi="宋体" w:eastAsia="宋体" w:cs="宋体"/>
          <w:kern w:val="2"/>
          <w:sz w:val="24"/>
          <w:szCs w:val="24"/>
          <w:lang w:val="en-US" w:eastAsia="zh-CN"/>
        </w:rPr>
        <w:t>梯</w:t>
      </w:r>
      <w:r>
        <w:rPr>
          <w:rFonts w:hint="eastAsia" w:ascii="宋体" w:hAnsi="宋体" w:eastAsia="宋体" w:cs="宋体"/>
          <w:kern w:val="2"/>
          <w:sz w:val="24"/>
          <w:szCs w:val="24"/>
        </w:rPr>
        <w:t>修理</w:t>
      </w:r>
      <w:r>
        <w:rPr>
          <w:rFonts w:hint="eastAsia" w:ascii="宋体" w:hAnsi="宋体" w:eastAsia="宋体" w:cs="宋体"/>
          <w:kern w:val="2"/>
          <w:sz w:val="24"/>
          <w:szCs w:val="24"/>
          <w:lang w:eastAsia="zh-CN"/>
        </w:rPr>
        <w:t>。</w:t>
      </w:r>
    </w:p>
    <w:p w14:paraId="6090DFBF">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2.6</w:t>
      </w:r>
      <w:r>
        <w:rPr>
          <w:rFonts w:hint="eastAsia" w:ascii="宋体" w:hAnsi="宋体" w:eastAsia="宋体" w:cs="宋体"/>
          <w:kern w:val="2"/>
          <w:sz w:val="24"/>
          <w:szCs w:val="24"/>
        </w:rPr>
        <w:t>电梯的月检查保养</w:t>
      </w:r>
      <w:r>
        <w:rPr>
          <w:rFonts w:hint="eastAsia" w:ascii="宋体" w:hAnsi="宋体" w:eastAsia="宋体" w:cs="宋体"/>
          <w:kern w:val="2"/>
          <w:sz w:val="24"/>
          <w:szCs w:val="24"/>
          <w:lang w:eastAsia="zh-CN"/>
        </w:rPr>
        <w:t>项目：</w:t>
      </w:r>
      <w:r>
        <w:rPr>
          <w:rFonts w:hint="eastAsia" w:ascii="宋体" w:hAnsi="宋体" w:eastAsia="宋体" w:cs="宋体"/>
          <w:kern w:val="2"/>
          <w:sz w:val="24"/>
          <w:szCs w:val="24"/>
        </w:rPr>
        <w:t>对电梯减速器作一次仔细检查。对限速器作一次仔细检查。对安全钳作一次仔细检查。对缓冲器作一次仔细检查。对厅门锁作一次仔细检查</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对自动门重新开启进行检查。对门的导轨进行检查清洗。对曳引机、电动机油位进行检查。检查接触器触头,衔铁是否良好。检查导向轮、反绳轮、选层器的润滑情况。对井道设施做一次检查。对各润滑系统进行一次检查。对各安全开关操作检查一次。</w:t>
      </w:r>
      <w:r>
        <w:rPr>
          <w:rFonts w:hint="eastAsia" w:ascii="宋体" w:hAnsi="宋体" w:eastAsia="宋体" w:cs="宋体"/>
          <w:kern w:val="2"/>
          <w:sz w:val="24"/>
          <w:szCs w:val="24"/>
          <w:lang w:val="en-US" w:eastAsia="zh-CN"/>
        </w:rPr>
        <w:t>包括但不限于以上月检内容及要求。</w:t>
      </w:r>
      <w:r>
        <w:rPr>
          <w:rFonts w:hint="eastAsia" w:ascii="宋体" w:hAnsi="宋体" w:eastAsia="宋体" w:cs="宋体"/>
          <w:kern w:val="2"/>
          <w:sz w:val="24"/>
          <w:szCs w:val="24"/>
        </w:rPr>
        <w:t>如有不正常现象应立即停梯进行修理,调整或更换。暂时不能处理而又允许暂缓处理的应跟踪运行,观察其发展情况,防止发生事故</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若发现严重现象应立即</w:t>
      </w:r>
      <w:r>
        <w:rPr>
          <w:rFonts w:hint="eastAsia" w:ascii="宋体" w:hAnsi="宋体" w:eastAsia="宋体" w:cs="宋体"/>
          <w:kern w:val="2"/>
          <w:sz w:val="24"/>
          <w:szCs w:val="24"/>
        </w:rPr>
        <w:fldChar w:fldCharType="begin"/>
      </w:r>
      <w:r>
        <w:rPr>
          <w:rFonts w:hint="eastAsia" w:ascii="宋体" w:hAnsi="宋体" w:eastAsia="宋体" w:cs="宋体"/>
          <w:kern w:val="2"/>
          <w:sz w:val="24"/>
          <w:szCs w:val="24"/>
        </w:rPr>
        <w:instrText xml:space="preserve"> HYPERLINK "http://www.fdcew.com/gw/List_202.html" \t "http://www.fdcew.com/hypx/zgc/_blank" </w:instrText>
      </w:r>
      <w:r>
        <w:rPr>
          <w:rFonts w:hint="eastAsia" w:ascii="宋体" w:hAnsi="宋体" w:eastAsia="宋体" w:cs="宋体"/>
          <w:kern w:val="2"/>
          <w:sz w:val="24"/>
          <w:szCs w:val="24"/>
        </w:rPr>
        <w:fldChar w:fldCharType="separate"/>
      </w:r>
      <w:r>
        <w:rPr>
          <w:rFonts w:hint="eastAsia" w:ascii="宋体" w:hAnsi="宋体" w:eastAsia="宋体" w:cs="宋体"/>
          <w:kern w:val="2"/>
          <w:sz w:val="24"/>
          <w:szCs w:val="24"/>
        </w:rPr>
        <w:t>报告</w:t>
      </w:r>
      <w:r>
        <w:rPr>
          <w:rFonts w:hint="eastAsia" w:ascii="宋体" w:hAnsi="宋体" w:eastAsia="宋体" w:cs="宋体"/>
          <w:kern w:val="2"/>
          <w:sz w:val="24"/>
          <w:szCs w:val="24"/>
        </w:rPr>
        <w:fldChar w:fldCharType="end"/>
      </w:r>
      <w:r>
        <w:rPr>
          <w:rFonts w:hint="eastAsia" w:ascii="宋体" w:hAnsi="宋体" w:eastAsia="宋体" w:cs="宋体"/>
          <w:kern w:val="2"/>
          <w:sz w:val="24"/>
          <w:szCs w:val="24"/>
          <w:lang w:eastAsia="zh-CN"/>
        </w:rPr>
        <w:t>招标人</w:t>
      </w:r>
      <w:r>
        <w:rPr>
          <w:rFonts w:hint="eastAsia" w:ascii="宋体" w:hAnsi="宋体" w:eastAsia="宋体" w:cs="宋体"/>
          <w:kern w:val="2"/>
          <w:sz w:val="24"/>
          <w:szCs w:val="24"/>
        </w:rPr>
        <w:t>主管部门进行停</w:t>
      </w:r>
      <w:r>
        <w:rPr>
          <w:rFonts w:hint="eastAsia" w:ascii="宋体" w:hAnsi="宋体" w:eastAsia="宋体" w:cs="宋体"/>
          <w:kern w:val="2"/>
          <w:sz w:val="24"/>
          <w:szCs w:val="24"/>
          <w:lang w:val="en-US" w:eastAsia="zh-CN"/>
        </w:rPr>
        <w:t>梯</w:t>
      </w:r>
      <w:r>
        <w:rPr>
          <w:rFonts w:hint="eastAsia" w:ascii="宋体" w:hAnsi="宋体" w:eastAsia="宋体" w:cs="宋体"/>
          <w:kern w:val="2"/>
          <w:sz w:val="24"/>
          <w:szCs w:val="24"/>
        </w:rPr>
        <w:t>修理。</w:t>
      </w:r>
    </w:p>
    <w:p w14:paraId="64C2DB4F">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2.7</w:t>
      </w:r>
      <w:r>
        <w:rPr>
          <w:rFonts w:hint="eastAsia" w:ascii="宋体" w:hAnsi="宋体" w:eastAsia="宋体" w:cs="宋体"/>
          <w:kern w:val="2"/>
          <w:sz w:val="24"/>
          <w:szCs w:val="24"/>
        </w:rPr>
        <w:t>电梯的季检查保养</w:t>
      </w:r>
      <w:r>
        <w:rPr>
          <w:rFonts w:hint="eastAsia" w:ascii="宋体" w:hAnsi="宋体" w:eastAsia="宋体" w:cs="宋体"/>
          <w:kern w:val="2"/>
          <w:sz w:val="24"/>
          <w:szCs w:val="24"/>
          <w:lang w:eastAsia="zh-CN"/>
        </w:rPr>
        <w:t>项目：</w:t>
      </w:r>
      <w:r>
        <w:rPr>
          <w:rFonts w:hint="eastAsia" w:ascii="宋体" w:hAnsi="宋体" w:eastAsia="宋体" w:cs="宋体"/>
          <w:kern w:val="2"/>
          <w:sz w:val="24"/>
          <w:szCs w:val="24"/>
        </w:rPr>
        <w:t>蜗轮蜗杆减速箱及电动机轴承是否有油。制动器动作是否正常,制动瓦与制动盘之间的间隙是否正常。曳引绳是否渗油,是否打滑。限速器钢丝绳,选层器钢带是否正常。继电器、接触器、选层器工作是否正常,触头是否清洁,固定是否牢固。检查门的操作、调节及清洁门驱动装置部件。清洁轿门、厅门地坎和门导轨</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检查全部门滚轮与开门刀之间的间隙</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调整全部厅门及附件。清洁全部厅门锁开关触点。检查补偿链是否完好。检查轿厢及对重导靴磨损情况。检查安全钳与导轨间隙。检查曳引绳的张力。检查轿厢操纵盘和各按钮的工作情况。检查轿厢紧急照明工作情况。检查自动门的重新开启是否正常。检查轿厢照明、信号、指示、蜂鸣器等功能是否正常。检查电梯启动、运行、减速和制停。检查电梯平层准确度。检查厅外呼梯按钮和指示器</w:t>
      </w:r>
      <w:r>
        <w:rPr>
          <w:rFonts w:hint="eastAsia" w:ascii="宋体" w:hAnsi="宋体" w:eastAsia="宋体" w:cs="宋体"/>
          <w:kern w:val="2"/>
          <w:sz w:val="24"/>
          <w:szCs w:val="24"/>
          <w:lang w:val="en-US" w:eastAsia="zh-CN"/>
        </w:rPr>
        <w:t>工作情况。电梯消防功能的检查。包括但不限于以上季检内容及要求。</w:t>
      </w:r>
      <w:r>
        <w:rPr>
          <w:rFonts w:hint="eastAsia" w:ascii="宋体" w:hAnsi="宋体" w:eastAsia="宋体" w:cs="宋体"/>
          <w:kern w:val="2"/>
          <w:sz w:val="24"/>
          <w:szCs w:val="24"/>
        </w:rPr>
        <w:t>如有不正常现象应立即停梯进行修理,调整或更换。暂时不能处理而又允许暂缓处理的应跟踪运行,观察其发展情况,防止发生事故</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若发现严重现象应立即</w:t>
      </w:r>
      <w:r>
        <w:rPr>
          <w:rFonts w:hint="eastAsia" w:ascii="宋体" w:hAnsi="宋体" w:eastAsia="宋体" w:cs="宋体"/>
          <w:kern w:val="2"/>
          <w:sz w:val="24"/>
          <w:szCs w:val="24"/>
        </w:rPr>
        <w:fldChar w:fldCharType="begin"/>
      </w:r>
      <w:r>
        <w:rPr>
          <w:rFonts w:hint="eastAsia" w:ascii="宋体" w:hAnsi="宋体" w:eastAsia="宋体" w:cs="宋体"/>
          <w:kern w:val="2"/>
          <w:sz w:val="24"/>
          <w:szCs w:val="24"/>
        </w:rPr>
        <w:instrText xml:space="preserve"> HYPERLINK "http://www.fdcew.com/gw/List_202.html" \t "http://www.fdcew.com/hypx/zgc/_blank" </w:instrText>
      </w:r>
      <w:r>
        <w:rPr>
          <w:rFonts w:hint="eastAsia" w:ascii="宋体" w:hAnsi="宋体" w:eastAsia="宋体" w:cs="宋体"/>
          <w:kern w:val="2"/>
          <w:sz w:val="24"/>
          <w:szCs w:val="24"/>
        </w:rPr>
        <w:fldChar w:fldCharType="separate"/>
      </w:r>
      <w:r>
        <w:rPr>
          <w:rFonts w:hint="eastAsia" w:ascii="宋体" w:hAnsi="宋体" w:eastAsia="宋体" w:cs="宋体"/>
          <w:kern w:val="2"/>
          <w:sz w:val="24"/>
          <w:szCs w:val="24"/>
        </w:rPr>
        <w:t>报告</w:t>
      </w:r>
      <w:r>
        <w:rPr>
          <w:rFonts w:hint="eastAsia" w:ascii="宋体" w:hAnsi="宋体" w:eastAsia="宋体" w:cs="宋体"/>
          <w:kern w:val="2"/>
          <w:sz w:val="24"/>
          <w:szCs w:val="24"/>
        </w:rPr>
        <w:fldChar w:fldCharType="end"/>
      </w:r>
      <w:r>
        <w:rPr>
          <w:rFonts w:hint="eastAsia" w:ascii="宋体" w:hAnsi="宋体" w:eastAsia="宋体" w:cs="宋体"/>
          <w:kern w:val="2"/>
          <w:sz w:val="24"/>
          <w:szCs w:val="24"/>
          <w:lang w:eastAsia="zh-CN"/>
        </w:rPr>
        <w:t>招标人</w:t>
      </w:r>
      <w:r>
        <w:rPr>
          <w:rFonts w:hint="eastAsia" w:ascii="宋体" w:hAnsi="宋体" w:eastAsia="宋体" w:cs="宋体"/>
          <w:kern w:val="2"/>
          <w:sz w:val="24"/>
          <w:szCs w:val="24"/>
        </w:rPr>
        <w:t>主管部门进行停车修理</w:t>
      </w:r>
      <w:r>
        <w:rPr>
          <w:rFonts w:hint="eastAsia" w:ascii="宋体" w:hAnsi="宋体" w:eastAsia="宋体" w:cs="宋体"/>
          <w:kern w:val="2"/>
          <w:sz w:val="24"/>
          <w:szCs w:val="24"/>
          <w:lang w:eastAsia="zh-CN"/>
        </w:rPr>
        <w:t>。</w:t>
      </w:r>
    </w:p>
    <w:p w14:paraId="5794EE56">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2.8每月由维保单位的专业人员对所保养的电梯进行2次常规检查和例行保养，并形成记录，确保电梯安全正常运行；维保单位应对合同范围内的电梯认真做好半月维保，每季度进行一次“安全检查”及“负荷调整试验”，确保设备得到必要的检查、测试、调整和校验。“年度安全检查”结合政府部门的“年检”同时进行，制作应急预案并每年进行电梯应急演练1次。每次例行维护保养和维修必须有招标人管理人员在场监督执行，维保单位须客观认真填写《电梯保养及维修报告书》交招标人管理人员签字确认。</w:t>
      </w:r>
    </w:p>
    <w:p w14:paraId="6F5E90A4">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2.9中标人维保、维修及改造等相关工作中必须严格按照国家特种设备管理办法及地方标准执行。</w:t>
      </w:r>
    </w:p>
    <w:p w14:paraId="3329F256">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2.10中标人在日常维护工作中必须严格按照国家电梯使用管理与维护保养规则及地方标准执行，作业过程中应服从招标人现场安全管理，严格落实现场安全防护措施，保证作业安全。</w:t>
      </w:r>
    </w:p>
    <w:p w14:paraId="5BCEB571">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2.11中标人实施日常维护保养后的电梯应当符合《电梯维修规范》、《电梯制造与安装安全规范》和《中华人民共和国特种设备安全法》的相关规定。</w:t>
      </w:r>
    </w:p>
    <w:p w14:paraId="60D141BC">
      <w:pPr>
        <w:pStyle w:val="3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2.12中标人对其维保电梯的安全性能负责。对承担维保的电梯是否符合国家安全技术规范要求进行确认，维保后的电梯应当符合相应的安全技术规范，并且保证所维保的电梯均处于安全正常运行状态。</w:t>
      </w:r>
    </w:p>
    <w:p w14:paraId="6CA6E884">
      <w:pPr>
        <w:pStyle w:val="3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right="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2.13中标人需提供24小时的应急响应服务，且能在接到招标人故障或事故报警后20分钟内到达现场，并能提供正常连续的服务直至故障或事故排除。对电梯困人事故要求在到达现场后20分钟内把乘客从轿厢中救出。对非电子板原因的常见事故要求在2小时内排除，对电子板原因的故障应在普遍认可的合理时间内解决。</w:t>
      </w:r>
    </w:p>
    <w:p w14:paraId="09661DF7">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2.14中标人维护维修过程中，现场需采取停梯措施时，应及时通知招标人确认后实施。</w:t>
      </w:r>
    </w:p>
    <w:p w14:paraId="7ED6BA36">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2.15中标人按规范整理电梯维保一梯一档资料，配合招标人接受上级主管部门随时抽查和定期检测工作。</w:t>
      </w:r>
    </w:p>
    <w:p w14:paraId="7BDA13E3">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2.16维保人员必须持证上岗着工作服，自行配备工作所需的工具及设备，严格按照电梯规范的技术操作规程进行，保养维修时需设置现场安全警示标志，严禁短接线路进行维修及保养，电梯保养单位需随时听取招标人的反馈信息，对电梯不正常的运行状况做出认真分析及纠正，有事实证明或政府职能部门证明由于维护保养工作人员过失而造成的直接的可预见的延误、人身伤亡或经济损失，由维护保养单位承担全部责任。</w:t>
      </w:r>
    </w:p>
    <w:p w14:paraId="4FD8FE67">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2.17中标人须保证所有电梯通过质量监督、特种设备等相关监管部门规定的定检、校验，并负责代办电梯的年度检验。中标人应按电梯监督检验和定期检验规则等规范要求按时间、频次、数量等落实电梯定期年检、限速器校验、125%制动试验等，并出具专业有效的检验合格报告给招标人存档备查，检验费用有招标人承担。</w:t>
      </w:r>
    </w:p>
    <w:p w14:paraId="559EC167">
      <w:pPr>
        <w:pStyle w:val="36"/>
        <w:pageBreakBefore w:val="0"/>
        <w:widowControl/>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kern w:val="2"/>
          <w:sz w:val="24"/>
          <w:szCs w:val="24"/>
          <w:lang w:val="en-US" w:eastAsia="zh-CN"/>
        </w:rPr>
        <w:t>2.18对维保服务的监督与整改：</w:t>
      </w:r>
    </w:p>
    <w:p w14:paraId="7DD3BEF3">
      <w:pPr>
        <w:pageBreakBefore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b w:val="0"/>
          <w:bCs w:val="0"/>
          <w:kern w:val="0"/>
          <w:sz w:val="24"/>
          <w:szCs w:val="24"/>
          <w:lang w:val="en-US" w:eastAsia="zh-CN" w:bidi="ar-SA"/>
        </w:rPr>
      </w:pPr>
      <w:r>
        <w:rPr>
          <w:rFonts w:hint="eastAsia" w:ascii="宋体" w:hAnsi="宋体" w:eastAsia="宋体" w:cs="宋体"/>
          <w:b w:val="0"/>
          <w:bCs w:val="0"/>
          <w:kern w:val="0"/>
          <w:sz w:val="24"/>
          <w:szCs w:val="24"/>
          <w:lang w:val="en-US" w:eastAsia="zh-CN" w:bidi="ar-SA"/>
        </w:rPr>
        <w:t>2.18.1中标人在维保服务期间因维保不当等原因导致的安全责任均由中标人负责，包括由于电梯故障及损坏造成乘梯人员伤亡或财产损失等，由中标人承担所有的法律责任及由此产生的所有费用。</w:t>
      </w:r>
    </w:p>
    <w:p w14:paraId="65A3C061">
      <w:pPr>
        <w:pageBreakBefore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b w:val="0"/>
          <w:bCs w:val="0"/>
          <w:kern w:val="0"/>
          <w:sz w:val="24"/>
          <w:szCs w:val="24"/>
          <w:lang w:val="en-US" w:eastAsia="zh-CN" w:bidi="ar-SA"/>
        </w:rPr>
        <w:t>2.18.2</w:t>
      </w:r>
      <w:r>
        <w:rPr>
          <w:rFonts w:hint="eastAsia" w:ascii="宋体" w:hAnsi="宋体" w:eastAsia="宋体" w:cs="宋体"/>
          <w:kern w:val="2"/>
          <w:sz w:val="24"/>
          <w:szCs w:val="24"/>
          <w:lang w:val="en-US" w:eastAsia="zh-CN"/>
        </w:rPr>
        <w:t>中标人应随时听取招标人的反馈，对不正常情况做到认真分析纠正，年检前1个月进行自检，配合特种设备安全监督管理部门对电梯年检，因维护保养原因导致电梯年检不合格的，由中标人进行整改完成并承担复检费用。</w:t>
      </w:r>
    </w:p>
    <w:p w14:paraId="53773BF5">
      <w:pPr>
        <w:pageBreakBefore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b w:val="0"/>
          <w:bCs w:val="0"/>
          <w:kern w:val="0"/>
          <w:sz w:val="24"/>
          <w:szCs w:val="24"/>
          <w:lang w:val="en-US" w:eastAsia="zh-CN" w:bidi="ar-SA"/>
        </w:rPr>
        <w:t>2.18.3</w:t>
      </w:r>
      <w:r>
        <w:rPr>
          <w:rFonts w:hint="eastAsia" w:ascii="宋体" w:hAnsi="宋体" w:eastAsia="宋体" w:cs="宋体"/>
          <w:kern w:val="2"/>
          <w:sz w:val="24"/>
          <w:szCs w:val="24"/>
          <w:lang w:val="en-US" w:eastAsia="zh-CN"/>
        </w:rPr>
        <w:t>如因中标人维修不及时或因技术问题导致电梯连续出现故障或在维保期间出现重大安全事故，招标人有权请第三方介入维修并单方面中止合同，扣除剩余维保款，中标人应承担由此造成的所有责任，包括经济及法律责任。</w:t>
      </w:r>
    </w:p>
    <w:p w14:paraId="3202204D">
      <w:pPr>
        <w:pageBreakBefore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kern w:val="2"/>
          <w:sz w:val="24"/>
          <w:szCs w:val="24"/>
          <w:lang w:val="en-US" w:eastAsia="zh-CN"/>
        </w:rPr>
      </w:pPr>
      <w:r>
        <w:rPr>
          <w:rFonts w:hint="eastAsia" w:ascii="宋体" w:hAnsi="宋体" w:eastAsia="宋体" w:cs="宋体"/>
          <w:b w:val="0"/>
          <w:bCs w:val="0"/>
          <w:kern w:val="0"/>
          <w:sz w:val="24"/>
          <w:szCs w:val="24"/>
          <w:lang w:val="en-US" w:eastAsia="zh-CN" w:bidi="ar-SA"/>
        </w:rPr>
        <w:t>2.18.4</w:t>
      </w:r>
      <w:r>
        <w:rPr>
          <w:rFonts w:hint="eastAsia" w:ascii="宋体" w:hAnsi="宋体" w:eastAsia="宋体" w:cs="宋体"/>
          <w:kern w:val="2"/>
          <w:sz w:val="24"/>
          <w:szCs w:val="24"/>
          <w:lang w:val="en-US" w:eastAsia="zh-CN"/>
        </w:rPr>
        <w:t>中标人负责与前期和后期中标人的交接工作，与后期中标人维保交接时必须保证所有电梯运行正常，并交接清楚。</w:t>
      </w:r>
    </w:p>
    <w:p w14:paraId="0F342515">
      <w:pPr>
        <w:pageBreakBefore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b w:val="0"/>
          <w:bCs w:val="0"/>
          <w:kern w:val="0"/>
          <w:sz w:val="24"/>
          <w:szCs w:val="24"/>
          <w:lang w:val="en-US" w:eastAsia="zh-CN" w:bidi="ar-SA"/>
        </w:rPr>
        <w:t>2.18.5</w:t>
      </w:r>
      <w:r>
        <w:rPr>
          <w:rFonts w:hint="eastAsia" w:ascii="宋体" w:hAnsi="宋体" w:eastAsia="宋体" w:cs="宋体"/>
          <w:kern w:val="2"/>
          <w:sz w:val="24"/>
          <w:szCs w:val="24"/>
          <w:lang w:val="en-US" w:eastAsia="zh-CN"/>
        </w:rPr>
        <w:t>招标人现场督查或行业主管部门检查过程中，出现相关不合格以及需整改的问题，招标人有权扣除1%的年度服务费用，并视情节轻重追究相关责任。任一年度出现三次以上的，招标人有权按上述内容扣除相关服务费用后，并有权提前与中标人解除合同。因中标人原因导致招标人被行业主管部门通报甚至处罚或出现其他具有恶劣影响情形以及安全事故的，招标人有权在追究中标人责任后与中标人提前解除合同。</w:t>
      </w:r>
    </w:p>
    <w:p w14:paraId="74B6AF84">
      <w:pPr>
        <w:pStyle w:val="2"/>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3、其他要求</w:t>
      </w:r>
    </w:p>
    <w:p w14:paraId="5B1373FE">
      <w:pPr>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3.1在合同期间，电梯部件更换或修理的费用须由甲方负责。乙方免费更换或修理因正常原因而损坏的且单价100元以下的零部件。</w:t>
      </w:r>
    </w:p>
    <w:p w14:paraId="1B1AF415">
      <w:pPr>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480" w:firstLineChars="200"/>
        <w:jc w:val="left"/>
        <w:textAlignment w:val="auto"/>
        <w:rPr>
          <w:rFonts w:hint="eastAsia" w:ascii="宋体" w:hAnsi="宋体" w:eastAsia="宋体" w:cs="宋体"/>
          <w:b w:val="0"/>
          <w:bCs w:val="0"/>
          <w:color w:val="auto"/>
          <w:kern w:val="2"/>
          <w:sz w:val="24"/>
          <w:szCs w:val="24"/>
          <w:lang w:val="en-US" w:eastAsia="zh-CN"/>
        </w:rPr>
      </w:pPr>
      <w:r>
        <w:rPr>
          <w:rFonts w:hint="eastAsia" w:ascii="宋体" w:hAnsi="宋体" w:eastAsia="宋体" w:cs="宋体"/>
          <w:b w:val="0"/>
          <w:bCs w:val="0"/>
          <w:color w:val="auto"/>
          <w:kern w:val="2"/>
          <w:sz w:val="24"/>
          <w:szCs w:val="24"/>
          <w:lang w:val="en-US" w:eastAsia="zh-CN"/>
        </w:rPr>
        <w:t>3.2中标人必须配齐常用配件，以备及时更换。中标人提供的电梯更换配件必须是原厂生产的、全新的、未使用过的合格产品，达到电梯设备要求的性能规格。</w:t>
      </w:r>
    </w:p>
    <w:p w14:paraId="1ED61D8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4"/>
          <w:u w:val="single"/>
        </w:rPr>
      </w:pPr>
    </w:p>
    <w:p w14:paraId="2749E73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40769E4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3A4C0E8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302B5DA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4A9F22C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749E02C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51E071D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29299BF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0AB6626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7C4897F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56DDDE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4"/>
          <w:u w:val="single"/>
        </w:rPr>
      </w:pPr>
    </w:p>
    <w:p w14:paraId="544EC29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Arial" w:hAnsi="Arial"/>
          <w:color w:val="auto"/>
          <w:kern w:val="2"/>
          <w:sz w:val="32"/>
          <w:szCs w:val="32"/>
          <w:highlight w:val="none"/>
          <w:lang w:val="en-US" w:eastAsia="zh-CN"/>
        </w:rPr>
      </w:pPr>
    </w:p>
    <w:p w14:paraId="46B0B91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Arial" w:hAnsi="Arial"/>
          <w:color w:val="auto"/>
          <w:kern w:val="2"/>
          <w:sz w:val="32"/>
          <w:szCs w:val="32"/>
          <w:highlight w:val="none"/>
          <w:lang w:val="en-US" w:eastAsia="zh-CN"/>
        </w:rPr>
      </w:pPr>
    </w:p>
    <w:p w14:paraId="2322D2B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Arial" w:hAnsi="Arial"/>
          <w:color w:val="auto"/>
          <w:kern w:val="2"/>
          <w:sz w:val="32"/>
          <w:szCs w:val="32"/>
          <w:highlight w:val="none"/>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right="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48"/>
    </w:p>
    <w:p w14:paraId="3A517B7D">
      <w:pPr>
        <w:numPr>
          <w:ilvl w:val="0"/>
          <w:numId w:val="0"/>
        </w:numPr>
        <w:spacing w:line="360" w:lineRule="auto"/>
        <w:rPr>
          <w:rFonts w:hint="eastAsia" w:ascii="宋体" w:hAnsi="宋体"/>
          <w:b/>
          <w:color w:val="auto"/>
          <w:sz w:val="24"/>
          <w:szCs w:val="24"/>
          <w:highlight w:val="none"/>
          <w:lang w:val="en-US" w:eastAsia="zh-CN"/>
        </w:rPr>
      </w:pPr>
      <w:bookmarkStart w:id="49" w:name="_Toc8981"/>
      <w:bookmarkStart w:id="50" w:name="_Toc54941341"/>
      <w:bookmarkStart w:id="51" w:name="_Toc439316880"/>
      <w:bookmarkStart w:id="52" w:name="_Toc1812"/>
      <w:r>
        <w:rPr>
          <w:rFonts w:hint="eastAsia" w:ascii="宋体" w:hAnsi="宋体"/>
          <w:b/>
          <w:color w:val="auto"/>
          <w:sz w:val="24"/>
          <w:szCs w:val="24"/>
          <w:highlight w:val="none"/>
          <w:lang w:val="en-US" w:eastAsia="zh-CN"/>
        </w:rPr>
        <w:t xml:space="preserve">一、总则 </w:t>
      </w:r>
    </w:p>
    <w:p w14:paraId="5D5AD306">
      <w:p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本项目将按照竞争性谈判文件第二章 竞争性谈判须知的相关要求及本章的规定评审。</w:t>
      </w:r>
    </w:p>
    <w:p w14:paraId="60E07CCB">
      <w:pPr>
        <w:numPr>
          <w:ilvl w:val="0"/>
          <w:numId w:val="0"/>
        </w:numPr>
        <w:spacing w:line="360" w:lineRule="auto"/>
        <w:rPr>
          <w:rFonts w:hint="eastAsia" w:ascii="宋体" w:hAnsi="宋体"/>
          <w:b/>
          <w:color w:val="auto"/>
          <w:sz w:val="24"/>
          <w:szCs w:val="24"/>
          <w:highlight w:val="none"/>
          <w:lang w:val="en-US" w:eastAsia="zh-CN"/>
        </w:rPr>
      </w:pPr>
      <w:r>
        <w:rPr>
          <w:rFonts w:hint="eastAsia" w:ascii="宋体" w:hAnsi="宋体" w:eastAsia="宋体" w:cs="Times New Roman"/>
          <w:b/>
          <w:color w:val="auto"/>
          <w:sz w:val="24"/>
          <w:szCs w:val="24"/>
          <w:lang w:val="en-US" w:eastAsia="zh-CN" w:bidi="ar-SA"/>
        </w:rPr>
        <w:t>二、</w:t>
      </w:r>
      <w:r>
        <w:rPr>
          <w:rFonts w:hint="eastAsia" w:ascii="宋体" w:hAnsi="宋体"/>
          <w:b/>
          <w:color w:val="auto"/>
          <w:sz w:val="24"/>
          <w:szCs w:val="24"/>
          <w:highlight w:val="none"/>
          <w:lang w:val="en-US" w:eastAsia="zh-CN"/>
        </w:rPr>
        <w:t>评审方法：</w:t>
      </w:r>
    </w:p>
    <w:p w14:paraId="196C9DA4">
      <w:pPr>
        <w:spacing w:line="360" w:lineRule="auto"/>
        <w:ind w:firstLine="240" w:firstLineChars="1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初审。谈判</w:t>
      </w:r>
      <w:r>
        <w:rPr>
          <w:rFonts w:hint="default" w:ascii="宋体" w:hAnsi="宋体" w:eastAsia="宋体" w:cs="Times New Roman"/>
          <w:color w:val="auto"/>
          <w:sz w:val="24"/>
          <w:highlight w:val="none"/>
          <w:lang w:val="en-US" w:eastAsia="zh-CN"/>
        </w:rPr>
        <w:t>小组对供应商的响应文件进行初审，以确定其是否满足竞争性谈判文件的实质性要求。初审表如下</w:t>
      </w:r>
      <w:r>
        <w:rPr>
          <w:rFonts w:hint="eastAsia" w:ascii="宋体" w:hAnsi="宋体" w:eastAsia="宋体" w:cs="Times New Roman"/>
          <w:color w:val="auto"/>
          <w:sz w:val="24"/>
          <w:highlight w:val="none"/>
          <w:lang w:val="en-US" w:eastAsia="zh-CN"/>
        </w:rPr>
        <w:t>：</w:t>
      </w:r>
    </w:p>
    <w:tbl>
      <w:tblPr>
        <w:tblStyle w:val="40"/>
        <w:tblW w:w="9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688"/>
        <w:gridCol w:w="4046"/>
        <w:gridCol w:w="3210"/>
      </w:tblGrid>
      <w:tr w14:paraId="57E6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9730" w:type="dxa"/>
            <w:gridSpan w:val="4"/>
            <w:tcBorders>
              <w:bottom w:val="single" w:color="auto" w:sz="4" w:space="0"/>
            </w:tcBorders>
            <w:vAlign w:val="center"/>
          </w:tcPr>
          <w:p w14:paraId="206FEE8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初审表</w:t>
            </w:r>
          </w:p>
        </w:tc>
      </w:tr>
      <w:tr w14:paraId="6F0E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373AB34E">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1688" w:type="dxa"/>
            <w:tcBorders>
              <w:bottom w:val="single" w:color="auto" w:sz="4" w:space="0"/>
            </w:tcBorders>
            <w:vAlign w:val="center"/>
          </w:tcPr>
          <w:p w14:paraId="66F8D809">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评审指标</w:t>
            </w:r>
          </w:p>
        </w:tc>
        <w:tc>
          <w:tcPr>
            <w:tcW w:w="4046" w:type="dxa"/>
            <w:tcBorders>
              <w:bottom w:val="single" w:color="auto" w:sz="4" w:space="0"/>
            </w:tcBorders>
            <w:vAlign w:val="center"/>
          </w:tcPr>
          <w:p w14:paraId="38C7D392">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评审标准</w:t>
            </w:r>
          </w:p>
        </w:tc>
        <w:tc>
          <w:tcPr>
            <w:tcW w:w="3210" w:type="dxa"/>
            <w:tcBorders>
              <w:bottom w:val="single" w:color="auto" w:sz="4" w:space="0"/>
            </w:tcBorders>
            <w:vAlign w:val="center"/>
          </w:tcPr>
          <w:p w14:paraId="39A39E98">
            <w:pPr>
              <w:spacing w:line="360" w:lineRule="auto"/>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格式及材料要求</w:t>
            </w:r>
          </w:p>
        </w:tc>
      </w:tr>
      <w:tr w14:paraId="58D9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vAlign w:val="center"/>
          </w:tcPr>
          <w:p w14:paraId="140C12B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688" w:type="dxa"/>
            <w:vAlign w:val="center"/>
          </w:tcPr>
          <w:p w14:paraId="7D32724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营业执照等证明文件</w:t>
            </w:r>
          </w:p>
        </w:tc>
        <w:tc>
          <w:tcPr>
            <w:tcW w:w="4046" w:type="dxa"/>
            <w:tcBorders>
              <w:bottom w:val="single" w:color="auto" w:sz="4" w:space="0"/>
            </w:tcBorders>
            <w:vAlign w:val="center"/>
          </w:tcPr>
          <w:p w14:paraId="2BDE321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（1）供应商为企业的，应提供有效的营业执照；</w:t>
            </w:r>
          </w:p>
          <w:p w14:paraId="5BF64BC7">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（2）供应商为事业单位的，应提供有效的事业单位法人证书；</w:t>
            </w:r>
          </w:p>
          <w:p w14:paraId="42C745F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（3）供应商是非企业机构的，应提供有效的执业许可证或登记证书等证明文件；</w:t>
            </w:r>
          </w:p>
          <w:p w14:paraId="18019D58">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（4）供应商是个体工商户的，应提供有效的个体工商户营业执照；</w:t>
            </w:r>
          </w:p>
          <w:p w14:paraId="4CBE0B6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（5）供应商是自然人的，应提供有效的自然人身份证明；</w:t>
            </w:r>
          </w:p>
        </w:tc>
        <w:tc>
          <w:tcPr>
            <w:tcW w:w="3210" w:type="dxa"/>
            <w:vAlign w:val="center"/>
          </w:tcPr>
          <w:p w14:paraId="0829E88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1B713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1CBE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tcBorders>
              <w:bottom w:val="single" w:color="auto" w:sz="4" w:space="0"/>
            </w:tcBorders>
            <w:vAlign w:val="center"/>
          </w:tcPr>
          <w:p w14:paraId="23E7A57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688" w:type="dxa"/>
            <w:tcBorders>
              <w:bottom w:val="single" w:color="auto" w:sz="4" w:space="0"/>
            </w:tcBorders>
            <w:vAlign w:val="center"/>
          </w:tcPr>
          <w:p w14:paraId="428644D3">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供应商信用</w:t>
            </w:r>
          </w:p>
          <w:p w14:paraId="1C3C7BE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记录</w:t>
            </w:r>
          </w:p>
        </w:tc>
        <w:tc>
          <w:tcPr>
            <w:tcW w:w="4046" w:type="dxa"/>
            <w:tcBorders>
              <w:bottom w:val="single" w:color="auto" w:sz="4" w:space="0"/>
            </w:tcBorders>
            <w:vAlign w:val="center"/>
          </w:tcPr>
          <w:p w14:paraId="78CFA8F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供应商不得存在供应商须知正文</w:t>
            </w:r>
          </w:p>
          <w:p w14:paraId="0A882A6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第14.3.1条中的不良信用记录情形</w:t>
            </w:r>
          </w:p>
        </w:tc>
        <w:tc>
          <w:tcPr>
            <w:tcW w:w="3210" w:type="dxa"/>
            <w:tcBorders>
              <w:bottom w:val="single" w:color="auto" w:sz="4" w:space="0"/>
            </w:tcBorders>
            <w:vAlign w:val="center"/>
          </w:tcPr>
          <w:p w14:paraId="0A7F917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无须供应商提供，由采购人或采购代理机构查询。</w:t>
            </w:r>
          </w:p>
        </w:tc>
      </w:tr>
      <w:tr w14:paraId="232CE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tcBorders>
              <w:bottom w:val="single" w:color="auto" w:sz="4" w:space="0"/>
            </w:tcBorders>
            <w:vAlign w:val="center"/>
          </w:tcPr>
          <w:p w14:paraId="0A6898F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688" w:type="dxa"/>
            <w:tcBorders>
              <w:bottom w:val="single" w:color="auto" w:sz="4" w:space="0"/>
            </w:tcBorders>
            <w:vAlign w:val="center"/>
          </w:tcPr>
          <w:p w14:paraId="630A877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w:t>
            </w:r>
          </w:p>
          <w:p w14:paraId="6D8A10E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声明书</w:t>
            </w:r>
          </w:p>
        </w:tc>
        <w:tc>
          <w:tcPr>
            <w:tcW w:w="4046" w:type="dxa"/>
            <w:tcBorders>
              <w:bottom w:val="single" w:color="auto" w:sz="4" w:space="0"/>
            </w:tcBorders>
            <w:vAlign w:val="center"/>
          </w:tcPr>
          <w:p w14:paraId="09CC015F">
            <w:pPr>
              <w:spacing w:line="360" w:lineRule="auto"/>
              <w:jc w:val="center"/>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提供符合谈判文件要求的</w:t>
            </w:r>
            <w:r>
              <w:rPr>
                <w:rFonts w:hint="eastAsia" w:ascii="宋体" w:hAnsi="宋体" w:cs="宋体"/>
                <w:color w:val="auto"/>
                <w:sz w:val="24"/>
                <w:szCs w:val="24"/>
                <w:highlight w:val="none"/>
                <w:lang w:val="en-US" w:eastAsia="zh-CN"/>
              </w:rPr>
              <w:t xml:space="preserve"> </w:t>
            </w:r>
          </w:p>
          <w:p w14:paraId="28A6140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《供应商资格声明书》</w:t>
            </w:r>
          </w:p>
        </w:tc>
        <w:tc>
          <w:tcPr>
            <w:tcW w:w="3210" w:type="dxa"/>
            <w:tcBorders>
              <w:bottom w:val="single" w:color="auto" w:sz="4" w:space="0"/>
            </w:tcBorders>
            <w:vAlign w:val="center"/>
          </w:tcPr>
          <w:p w14:paraId="7919367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E6D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0EA1C9E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688" w:type="dxa"/>
            <w:vAlign w:val="center"/>
          </w:tcPr>
          <w:p w14:paraId="52DED86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其它落实政府采购政策的</w:t>
            </w:r>
          </w:p>
          <w:p w14:paraId="607F8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资格要求</w:t>
            </w:r>
          </w:p>
        </w:tc>
        <w:tc>
          <w:tcPr>
            <w:tcW w:w="4046" w:type="dxa"/>
            <w:vAlign w:val="center"/>
          </w:tcPr>
          <w:p w14:paraId="6BE1AEF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4161B97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29C4799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F4B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EC49C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688" w:type="dxa"/>
            <w:vAlign w:val="center"/>
          </w:tcPr>
          <w:p w14:paraId="4B8AA50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本项目的特定资格要求</w:t>
            </w:r>
          </w:p>
        </w:tc>
        <w:tc>
          <w:tcPr>
            <w:tcW w:w="4046" w:type="dxa"/>
            <w:vAlign w:val="center"/>
          </w:tcPr>
          <w:p w14:paraId="1BF8DD9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如有，见第一章《谈判邀请》</w:t>
            </w:r>
          </w:p>
        </w:tc>
        <w:tc>
          <w:tcPr>
            <w:tcW w:w="3210" w:type="dxa"/>
            <w:vAlign w:val="center"/>
          </w:tcPr>
          <w:p w14:paraId="10406D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提供材料扫描件或复印件或影印件，应完整的体现出</w:t>
            </w:r>
          </w:p>
          <w:p w14:paraId="3BBCD02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材料全部内容</w:t>
            </w:r>
          </w:p>
        </w:tc>
      </w:tr>
      <w:tr w14:paraId="20F4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0987D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688" w:type="dxa"/>
            <w:vAlign w:val="center"/>
          </w:tcPr>
          <w:p w14:paraId="6C07E4E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谈判响应函</w:t>
            </w:r>
          </w:p>
        </w:tc>
        <w:tc>
          <w:tcPr>
            <w:tcW w:w="4046" w:type="dxa"/>
            <w:vAlign w:val="center"/>
          </w:tcPr>
          <w:p w14:paraId="0641C9F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09EB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3195D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786" w:type="dxa"/>
            <w:vAlign w:val="center"/>
          </w:tcPr>
          <w:p w14:paraId="461CA57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688" w:type="dxa"/>
            <w:vAlign w:val="center"/>
          </w:tcPr>
          <w:p w14:paraId="5D20800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授权书</w:t>
            </w:r>
          </w:p>
        </w:tc>
        <w:tc>
          <w:tcPr>
            <w:tcW w:w="4046" w:type="dxa"/>
            <w:vAlign w:val="center"/>
          </w:tcPr>
          <w:p w14:paraId="473B841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格式、填写要求符合谈判文件规定并加盖</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公章</w:t>
            </w:r>
          </w:p>
        </w:tc>
        <w:tc>
          <w:tcPr>
            <w:tcW w:w="3210" w:type="dxa"/>
            <w:vAlign w:val="center"/>
          </w:tcPr>
          <w:p w14:paraId="5644922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法定代表人参加谈判的无需此件，提供身份证明即可。详见第六章响应文件格式  </w:t>
            </w:r>
          </w:p>
        </w:tc>
      </w:tr>
      <w:tr w14:paraId="6E38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6" w:type="dxa"/>
            <w:vAlign w:val="center"/>
          </w:tcPr>
          <w:p w14:paraId="14CA604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688" w:type="dxa"/>
            <w:vAlign w:val="center"/>
          </w:tcPr>
          <w:p w14:paraId="52BA8DC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谈判报价</w:t>
            </w:r>
          </w:p>
        </w:tc>
        <w:tc>
          <w:tcPr>
            <w:tcW w:w="4046" w:type="dxa"/>
            <w:vAlign w:val="center"/>
          </w:tcPr>
          <w:p w14:paraId="458ABF10">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符合谈判文件供应商须知正文</w:t>
            </w:r>
          </w:p>
          <w:p w14:paraId="17CF66F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第9条要求</w:t>
            </w:r>
          </w:p>
        </w:tc>
        <w:tc>
          <w:tcPr>
            <w:tcW w:w="3210" w:type="dxa"/>
            <w:vAlign w:val="center"/>
          </w:tcPr>
          <w:p w14:paraId="7BF7BF3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21C7F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786" w:type="dxa"/>
            <w:vAlign w:val="center"/>
          </w:tcPr>
          <w:p w14:paraId="0232AA4E">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688" w:type="dxa"/>
            <w:vAlign w:val="center"/>
          </w:tcPr>
          <w:p w14:paraId="4B5ED20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商务响应情况</w:t>
            </w:r>
          </w:p>
        </w:tc>
        <w:tc>
          <w:tcPr>
            <w:tcW w:w="4046" w:type="dxa"/>
            <w:vAlign w:val="center"/>
          </w:tcPr>
          <w:p w14:paraId="3220132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符合谈判文件采购需求中对付款方式、供货期限、供货地点、免费质保期等实质性要求</w:t>
            </w:r>
          </w:p>
        </w:tc>
        <w:tc>
          <w:tcPr>
            <w:tcW w:w="3210" w:type="dxa"/>
            <w:vAlign w:val="center"/>
          </w:tcPr>
          <w:p w14:paraId="448D3FF4">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464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46F62DA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688" w:type="dxa"/>
            <w:vAlign w:val="center"/>
          </w:tcPr>
          <w:p w14:paraId="0B7EA9B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w:t>
            </w:r>
            <w:r>
              <w:rPr>
                <w:rFonts w:hint="eastAsia" w:ascii="宋体" w:hAnsi="宋体" w:eastAsia="宋体" w:cs="宋体"/>
                <w:color w:val="auto"/>
                <w:sz w:val="24"/>
                <w:szCs w:val="24"/>
                <w:highlight w:val="none"/>
                <w:lang w:val="en-US" w:eastAsia="zh-CN"/>
              </w:rPr>
              <w:t>响应情况</w:t>
            </w:r>
          </w:p>
        </w:tc>
        <w:tc>
          <w:tcPr>
            <w:tcW w:w="4046" w:type="dxa"/>
            <w:vAlign w:val="center"/>
          </w:tcPr>
          <w:p w14:paraId="3F62A6AA">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符合谈判文件采购需求中货物</w:t>
            </w:r>
          </w:p>
          <w:p w14:paraId="7C278BFD">
            <w:pPr>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技术参数</w:t>
            </w:r>
          </w:p>
        </w:tc>
        <w:tc>
          <w:tcPr>
            <w:tcW w:w="3210" w:type="dxa"/>
            <w:vAlign w:val="center"/>
          </w:tcPr>
          <w:p w14:paraId="2086038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详见第六章响应文件格式</w:t>
            </w:r>
          </w:p>
        </w:tc>
      </w:tr>
      <w:tr w14:paraId="09E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205B530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688" w:type="dxa"/>
            <w:vAlign w:val="center"/>
          </w:tcPr>
          <w:p w14:paraId="74CF66F6">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4046" w:type="dxa"/>
            <w:vAlign w:val="center"/>
          </w:tcPr>
          <w:p w14:paraId="66447359">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符合法律、行政法规规定的其他条件或谈判文件列明的其他实质性要求</w:t>
            </w:r>
          </w:p>
        </w:tc>
        <w:tc>
          <w:tcPr>
            <w:tcW w:w="3210" w:type="dxa"/>
            <w:vAlign w:val="center"/>
          </w:tcPr>
          <w:p w14:paraId="5AFB665F">
            <w:pPr>
              <w:spacing w:line="360" w:lineRule="auto"/>
              <w:jc w:val="center"/>
              <w:rPr>
                <w:rFonts w:hint="eastAsia" w:ascii="宋体" w:hAnsi="宋体" w:eastAsia="宋体" w:cs="宋体"/>
                <w:color w:val="auto"/>
                <w:sz w:val="24"/>
                <w:szCs w:val="24"/>
                <w:highlight w:val="none"/>
                <w:lang w:val="en-US" w:eastAsia="zh-CN"/>
              </w:rPr>
            </w:pPr>
          </w:p>
        </w:tc>
      </w:tr>
      <w:tr w14:paraId="4632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9730" w:type="dxa"/>
            <w:gridSpan w:val="4"/>
            <w:vAlign w:val="center"/>
          </w:tcPr>
          <w:p w14:paraId="32BFDD73">
            <w:pPr>
              <w:widowControl/>
              <w:spacing w:line="500" w:lineRule="exact"/>
              <w:jc w:val="left"/>
              <w:rPr>
                <w:rFonts w:hint="eastAsia"/>
                <w:color w:val="auto"/>
                <w:sz w:val="24"/>
                <w:szCs w:val="22"/>
                <w:highlight w:val="none"/>
              </w:rPr>
            </w:pPr>
            <w:r>
              <w:rPr>
                <w:rFonts w:hint="eastAsia"/>
                <w:color w:val="auto"/>
                <w:sz w:val="24"/>
                <w:szCs w:val="22"/>
                <w:highlight w:val="none"/>
                <w:lang w:val="en-US" w:eastAsia="zh-CN"/>
              </w:rPr>
              <w:t>初审指标通过标准：供应商必须通过初审表中的全部评审指标。</w:t>
            </w:r>
          </w:p>
          <w:p w14:paraId="3A6CA51C">
            <w:pPr>
              <w:widowControl/>
              <w:spacing w:line="500" w:lineRule="exact"/>
              <w:jc w:val="left"/>
              <w:rPr>
                <w:rFonts w:hint="eastAsia"/>
                <w:color w:val="auto"/>
                <w:sz w:val="24"/>
                <w:szCs w:val="22"/>
                <w:highlight w:val="none"/>
                <w:lang w:val="en-US" w:eastAsia="zh-CN"/>
              </w:rPr>
            </w:pPr>
            <w:r>
              <w:rPr>
                <w:rFonts w:hint="eastAsia"/>
                <w:color w:val="auto"/>
                <w:sz w:val="24"/>
                <w:szCs w:val="22"/>
                <w:highlight w:val="none"/>
                <w:lang w:val="en-US" w:eastAsia="zh-CN"/>
              </w:rPr>
              <w:t>注：</w:t>
            </w:r>
            <w:r>
              <w:rPr>
                <w:rFonts w:hint="eastAsia" w:asciiTheme="majorEastAsia" w:hAnsiTheme="majorEastAsia" w:eastAsiaTheme="majorEastAsia" w:cstheme="majorEastAsia"/>
                <w:color w:val="auto"/>
                <w:sz w:val="24"/>
                <w:szCs w:val="22"/>
                <w:highlight w:val="none"/>
                <w:lang w:val="en-US" w:eastAsia="zh-CN"/>
              </w:rPr>
              <w:t>1、</w:t>
            </w:r>
            <w:r>
              <w:rPr>
                <w:rFonts w:hint="eastAsia"/>
                <w:color w:val="auto"/>
                <w:sz w:val="24"/>
                <w:szCs w:val="22"/>
                <w:highlight w:val="none"/>
                <w:lang w:val="en-US" w:eastAsia="zh-CN"/>
              </w:rPr>
              <w:t>竞争性谈判文件所有要求提供复印件或影印件或扫描件的，均须加盖响应人公章。</w:t>
            </w:r>
          </w:p>
          <w:p w14:paraId="5C3FE42B">
            <w:pPr>
              <w:widowControl/>
              <w:spacing w:line="500" w:lineRule="exact"/>
              <w:jc w:val="left"/>
              <w:rPr>
                <w:rFonts w:hint="eastAsia" w:ascii="宋体" w:hAnsi="宋体" w:eastAsia="宋体" w:cs="宋体"/>
                <w:color w:val="auto"/>
                <w:sz w:val="24"/>
                <w:szCs w:val="24"/>
                <w:highlight w:val="none"/>
                <w:lang w:val="en-US" w:eastAsia="zh-CN"/>
              </w:rPr>
            </w:pPr>
            <w:r>
              <w:rPr>
                <w:rFonts w:hint="eastAsia" w:asciiTheme="majorEastAsia" w:hAnsiTheme="majorEastAsia" w:eastAsiaTheme="majorEastAsia" w:cstheme="majorEastAsia"/>
                <w:color w:val="auto"/>
                <w:sz w:val="24"/>
                <w:szCs w:val="22"/>
                <w:highlight w:val="none"/>
                <w:lang w:val="en-US" w:eastAsia="zh-CN"/>
              </w:rPr>
              <w:t>2、</w:t>
            </w:r>
            <w:r>
              <w:rPr>
                <w:rFonts w:hint="eastAsia"/>
                <w:color w:val="auto"/>
                <w:sz w:val="24"/>
                <w:szCs w:val="22"/>
                <w:highlight w:val="none"/>
                <w:lang w:val="en-US" w:eastAsia="zh-CN"/>
              </w:rPr>
              <w:t>响应人应按照谈判文件要求提供证明材料。若响应人提供了谈判文件未要求的证明材料，谈判小组将不予评审。</w:t>
            </w:r>
          </w:p>
        </w:tc>
      </w:tr>
    </w:tbl>
    <w:p w14:paraId="58BDDC10">
      <w:pPr>
        <w:spacing w:line="360" w:lineRule="auto"/>
        <w:ind w:firstLine="240" w:firstLineChars="100"/>
        <w:rPr>
          <w:rFonts w:hint="eastAsia" w:ascii="宋体" w:hAnsi="宋体" w:eastAsia="宋体" w:cs="Times New Roman"/>
          <w:color w:val="auto"/>
          <w:sz w:val="24"/>
          <w:highlight w:val="none"/>
          <w:lang w:val="en-US" w:eastAsia="zh-CN"/>
        </w:rPr>
      </w:pPr>
      <w:bookmarkStart w:id="53" w:name="_Toc431"/>
      <w:bookmarkStart w:id="54" w:name="_Toc28300"/>
      <w:bookmarkStart w:id="55" w:name="_Toc7241"/>
      <w:bookmarkStart w:id="56" w:name="_Toc27586"/>
      <w:bookmarkStart w:id="57" w:name="_Toc3977"/>
      <w:r>
        <w:rPr>
          <w:rFonts w:hint="eastAsia" w:ascii="宋体" w:hAnsi="宋体" w:eastAsia="宋体" w:cs="Times New Roman"/>
          <w:color w:val="auto"/>
          <w:sz w:val="24"/>
          <w:highlight w:val="none"/>
          <w:lang w:val="en-US" w:eastAsia="zh-CN"/>
        </w:rPr>
        <w:t>2.异常低价响应审查</w:t>
      </w:r>
    </w:p>
    <w:tbl>
      <w:tblPr>
        <w:tblStyle w:val="40"/>
        <w:tblW w:w="56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260"/>
        <w:gridCol w:w="5380"/>
        <w:gridCol w:w="2260"/>
      </w:tblGrid>
      <w:tr w14:paraId="4F47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659" w:type="dxa"/>
            <w:gridSpan w:val="4"/>
            <w:tcBorders>
              <w:bottom w:val="single" w:color="auto" w:sz="4" w:space="0"/>
            </w:tcBorders>
            <w:vAlign w:val="center"/>
          </w:tcPr>
          <w:p w14:paraId="3ABDF3A5">
            <w:pPr>
              <w:spacing w:line="360" w:lineRule="auto"/>
              <w:jc w:val="center"/>
              <w:rPr>
                <w:rFonts w:ascii="宋体" w:hAnsi="宋体" w:eastAsia="宋体"/>
                <w:sz w:val="24"/>
                <w:highlight w:val="none"/>
              </w:rPr>
            </w:pPr>
            <w:r>
              <w:rPr>
                <w:rFonts w:hint="eastAsia" w:ascii="宋体" w:hAnsi="宋体" w:eastAsia="宋体" w:cs="宋体"/>
                <w:b/>
                <w:bCs/>
                <w:color w:val="auto"/>
                <w:sz w:val="24"/>
                <w:szCs w:val="24"/>
                <w:highlight w:val="none"/>
                <w:lang w:val="en-US" w:eastAsia="zh-CN"/>
              </w:rPr>
              <w:t>异常低价响应审查表</w:t>
            </w:r>
          </w:p>
        </w:tc>
      </w:tr>
      <w:tr w14:paraId="65AB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tcBorders>
              <w:bottom w:val="single" w:color="auto" w:sz="4" w:space="0"/>
            </w:tcBorders>
            <w:vAlign w:val="center"/>
          </w:tcPr>
          <w:p w14:paraId="7F56ADD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1260" w:type="dxa"/>
            <w:tcBorders>
              <w:bottom w:val="single" w:color="auto" w:sz="4" w:space="0"/>
            </w:tcBorders>
            <w:vAlign w:val="center"/>
          </w:tcPr>
          <w:p w14:paraId="19DD0DF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评审指标</w:t>
            </w:r>
          </w:p>
        </w:tc>
        <w:tc>
          <w:tcPr>
            <w:tcW w:w="5380" w:type="dxa"/>
            <w:tcBorders>
              <w:bottom w:val="single" w:color="auto" w:sz="4" w:space="0"/>
            </w:tcBorders>
            <w:vAlign w:val="center"/>
          </w:tcPr>
          <w:p w14:paraId="43D3CE4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评审标准</w:t>
            </w:r>
          </w:p>
        </w:tc>
        <w:tc>
          <w:tcPr>
            <w:tcW w:w="2260" w:type="dxa"/>
            <w:tcBorders>
              <w:bottom w:val="single" w:color="auto" w:sz="4" w:space="0"/>
            </w:tcBorders>
            <w:vAlign w:val="center"/>
          </w:tcPr>
          <w:p w14:paraId="3235348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格式及材料要求</w:t>
            </w:r>
          </w:p>
        </w:tc>
      </w:tr>
      <w:tr w14:paraId="6545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59" w:type="dxa"/>
            <w:tcBorders>
              <w:bottom w:val="single" w:color="auto" w:sz="4" w:space="0"/>
            </w:tcBorders>
            <w:vAlign w:val="center"/>
          </w:tcPr>
          <w:p w14:paraId="654D651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60" w:type="dxa"/>
            <w:tcBorders>
              <w:bottom w:val="single" w:color="auto" w:sz="4" w:space="0"/>
            </w:tcBorders>
            <w:vAlign w:val="center"/>
          </w:tcPr>
          <w:p w14:paraId="1993C8E2">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异常低价响应审查</w:t>
            </w:r>
          </w:p>
        </w:tc>
        <w:tc>
          <w:tcPr>
            <w:tcW w:w="5380" w:type="dxa"/>
            <w:tcBorders>
              <w:bottom w:val="single" w:color="auto" w:sz="4" w:space="0"/>
            </w:tcBorders>
            <w:vAlign w:val="center"/>
          </w:tcPr>
          <w:p w14:paraId="64A65B01">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（1）报价＜全部通过初审供应商响应报价平均值×50%；</w:t>
            </w:r>
          </w:p>
          <w:p w14:paraId="3CE723F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（2）报价＜通过初审的次低报价供应商响应报价×50%；</w:t>
            </w:r>
          </w:p>
          <w:p w14:paraId="733D5F5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（3）报价＜采购项目最高限价（如采购项目未设定最高限价的，以采购项目预算金额作为最高限价）×45%；</w:t>
            </w:r>
          </w:p>
          <w:p w14:paraId="37A07AA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（4）谈判小组基于专业判断，认为供应商报价过低，有可能影响产品质量或者不能诚信履约的其他情形。</w:t>
            </w:r>
          </w:p>
          <w:p w14:paraId="01659C44">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提醒：</w:t>
            </w:r>
          </w:p>
          <w:p w14:paraId="363822AF">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（1）上述第（1）项数值计算：涉及总价、单价的精确到“分”并四舍五入，涉及费率的精确到小数点后两位，第三位四舍五入（例：如平均值为123.456元，即为123.46元；如平均值为80.126%，即为80.13%）。</w:t>
            </w:r>
          </w:p>
          <w:p w14:paraId="2365689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（2）上述报价均为供应商最后报价。</w:t>
            </w:r>
          </w:p>
        </w:tc>
        <w:tc>
          <w:tcPr>
            <w:tcW w:w="2260" w:type="dxa"/>
            <w:vAlign w:val="center"/>
          </w:tcPr>
          <w:p w14:paraId="745CD73D">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3D504B49">
      <w:pPr>
        <w:spacing w:before="108" w:beforeLines="34" w:beforeAutospacing="0" w:line="360" w:lineRule="auto"/>
        <w:rPr>
          <w:rFonts w:hint="eastAsia" w:ascii="宋体" w:hAnsi="宋体" w:eastAsia="宋体"/>
          <w:sz w:val="24"/>
          <w:highlight w:val="none"/>
          <w:lang w:val="en-US" w:eastAsia="zh-CN"/>
        </w:rPr>
      </w:pPr>
      <w:r>
        <w:rPr>
          <w:rFonts w:hint="eastAsia" w:ascii="宋体" w:hAnsi="宋体" w:eastAsia="宋体" w:cs="Times New Roman"/>
          <w:sz w:val="24"/>
          <w:highlight w:val="none"/>
          <w:lang w:val="en-US" w:eastAsia="zh-CN"/>
        </w:rPr>
        <w:t>注：</w:t>
      </w:r>
      <w:r>
        <w:rPr>
          <w:rFonts w:hint="eastAsia" w:ascii="宋体" w:hAnsi="宋体" w:eastAsia="宋体"/>
          <w:sz w:val="24"/>
          <w:highlight w:val="none"/>
        </w:rPr>
        <w:t>根据《关于推</w:t>
      </w:r>
      <w:r>
        <w:rPr>
          <w:rFonts w:hint="eastAsia" w:ascii="宋体" w:hAnsi="宋体" w:eastAsia="宋体"/>
          <w:sz w:val="24"/>
          <w:highlight w:val="none"/>
          <w:lang w:val="en-US" w:eastAsia="zh-CN"/>
        </w:rPr>
        <w:t>动</w:t>
      </w:r>
      <w:r>
        <w:rPr>
          <w:rFonts w:hint="eastAsia" w:ascii="宋体" w:hAnsi="宋体" w:eastAsia="宋体"/>
          <w:sz w:val="24"/>
          <w:highlight w:val="none"/>
        </w:rPr>
        <w:t>解决政府采购异常低价问题的通知》（财库〔2026〕2号），</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153DDD6B">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3</w:t>
      </w:r>
      <w:r>
        <w:rPr>
          <w:rFonts w:hint="eastAsia" w:ascii="宋体" w:hAnsi="宋体" w:eastAsia="宋体"/>
          <w:sz w:val="24"/>
          <w:highlight w:val="none"/>
          <w:lang w:eastAsia="zh-CN"/>
        </w:rPr>
        <w:t>）</w:t>
      </w:r>
      <w:r>
        <w:rPr>
          <w:rFonts w:hint="eastAsia" w:ascii="宋体" w:hAnsi="宋体" w:eastAsia="宋体"/>
          <w:sz w:val="24"/>
          <w:highlight w:val="none"/>
        </w:rPr>
        <w:t>项情形，供应商已随响应文件一并提交相关书面说明及必要的证明材料的，在评审现场可不再重复提交。</w:t>
      </w:r>
    </w:p>
    <w:p w14:paraId="295519EC">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highlight w:val="none"/>
        </w:rPr>
      </w:pPr>
      <w:r>
        <w:rPr>
          <w:rFonts w:hint="eastAsia" w:ascii="宋体" w:hAnsi="宋体" w:eastAsia="宋体"/>
          <w:sz w:val="24"/>
          <w:highlight w:val="none"/>
          <w:lang w:val="en-US" w:eastAsia="zh-CN"/>
        </w:rPr>
        <w:t>谈判</w:t>
      </w:r>
      <w:r>
        <w:rPr>
          <w:rFonts w:hint="eastAsia" w:ascii="宋体" w:hAnsi="宋体" w:eastAsia="宋体"/>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sz w:val="24"/>
          <w:highlight w:val="none"/>
          <w:lang w:val="en-US" w:eastAsia="zh-CN"/>
        </w:rPr>
        <w:t>谈判</w:t>
      </w:r>
      <w:r>
        <w:rPr>
          <w:rFonts w:hint="eastAsia" w:ascii="宋体" w:hAnsi="宋体" w:eastAsia="宋体"/>
          <w:sz w:val="24"/>
          <w:highlight w:val="none"/>
        </w:rPr>
        <w:t xml:space="preserve">小组应当将其作为无效响应处理。 </w:t>
      </w:r>
    </w:p>
    <w:p w14:paraId="297EF2A5">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lang w:val="en-US" w:eastAsia="zh-CN"/>
        </w:rPr>
      </w:pPr>
      <w:r>
        <w:rPr>
          <w:rFonts w:hint="eastAsia" w:ascii="宋体" w:hAnsi="宋体" w:eastAsia="宋体" w:cs="Arial"/>
          <w:kern w:val="2"/>
          <w:sz w:val="24"/>
          <w:highlight w:val="none"/>
          <w:lang w:val="en-US" w:eastAsia="zh-CN" w:bidi="ar-SA"/>
        </w:rPr>
        <w:t>谈判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谈判小组有关互联网浏览、查询历史一并归档</w:t>
      </w:r>
      <w:r>
        <w:rPr>
          <w:rFonts w:hint="eastAsia" w:asciiTheme="minorEastAsia" w:hAnsiTheme="minorEastAsia" w:eastAsiaTheme="minorEastAsia"/>
          <w:color w:val="auto"/>
          <w:sz w:val="24"/>
          <w:highlight w:val="none"/>
        </w:rPr>
        <w:t>。</w:t>
      </w:r>
      <w:bookmarkEnd w:id="53"/>
      <w:bookmarkEnd w:id="54"/>
      <w:bookmarkEnd w:id="55"/>
      <w:bookmarkEnd w:id="56"/>
      <w:bookmarkEnd w:id="57"/>
    </w:p>
    <w:p w14:paraId="2114B15D">
      <w:pPr>
        <w:pStyle w:val="2"/>
        <w:tabs>
          <w:tab w:val="left" w:pos="1440"/>
          <w:tab w:val="left" w:pos="5670"/>
        </w:tabs>
        <w:spacing w:before="0" w:beforeAutospacing="0" w:after="0" w:afterAutospacing="0" w:line="480" w:lineRule="exact"/>
        <w:ind w:firstLine="0" w:firstLineChars="0"/>
        <w:jc w:val="center"/>
        <w:rPr>
          <w:rFonts w:hint="eastAsia" w:ascii="宋体" w:hAnsi="宋体" w:eastAsia="宋体" w:cs="宋体"/>
          <w:b/>
          <w:bCs/>
          <w:color w:val="auto"/>
          <w:kern w:val="2"/>
          <w:sz w:val="36"/>
          <w:szCs w:val="36"/>
          <w:highlight w:val="none"/>
          <w:lang w:val="en-US" w:eastAsia="zh-CN"/>
        </w:rPr>
      </w:pPr>
      <w:r>
        <w:rPr>
          <w:rFonts w:hint="eastAsia" w:ascii="宋体" w:hAnsi="宋体" w:eastAsia="宋体" w:cs="宋体"/>
          <w:b/>
          <w:bCs/>
          <w:color w:val="auto"/>
          <w:kern w:val="2"/>
          <w:sz w:val="36"/>
          <w:szCs w:val="36"/>
          <w:highlight w:val="none"/>
          <w:lang w:val="en-US" w:eastAsia="zh-CN"/>
        </w:rPr>
        <w:t>第五章  合 同</w:t>
      </w:r>
    </w:p>
    <w:p w14:paraId="163075B1">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57002AE6">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0E4CF258">
      <w:pPr>
        <w:pStyle w:val="15"/>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10ED54E">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54FE513D">
      <w:pPr>
        <w:pStyle w:val="15"/>
        <w:rPr>
          <w:rFonts w:hint="eastAsia" w:ascii="宋体" w:hAnsi="宋体" w:eastAsia="宋体" w:cs="宋体"/>
          <w:b/>
          <w:bCs/>
          <w:spacing w:val="-20"/>
          <w:kern w:val="44"/>
          <w:sz w:val="24"/>
          <w:szCs w:val="24"/>
          <w:highlight w:val="none"/>
        </w:rPr>
      </w:pPr>
    </w:p>
    <w:p w14:paraId="307D03F5">
      <w:pPr>
        <w:pStyle w:val="15"/>
        <w:rPr>
          <w:rFonts w:hint="eastAsia" w:ascii="宋体" w:hAnsi="宋体" w:eastAsia="宋体" w:cs="宋体"/>
          <w:b/>
          <w:bCs/>
          <w:spacing w:val="-20"/>
          <w:kern w:val="44"/>
          <w:sz w:val="24"/>
          <w:szCs w:val="24"/>
          <w:highlight w:val="none"/>
        </w:rPr>
      </w:pPr>
    </w:p>
    <w:p w14:paraId="361D8C27">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718C8913">
      <w:pPr>
        <w:pageBreakBefore w:val="0"/>
        <w:kinsoku/>
        <w:wordWrap/>
        <w:overflowPunct/>
        <w:topLinePunct w:val="0"/>
        <w:bidi w:val="0"/>
        <w:spacing w:line="360" w:lineRule="auto"/>
        <w:jc w:val="both"/>
        <w:textAlignment w:val="auto"/>
        <w:rPr>
          <w:rFonts w:hint="eastAsia" w:ascii="宋体" w:hAnsi="宋体" w:eastAsia="宋体" w:cs="宋体"/>
          <w:kern w:val="0"/>
          <w:sz w:val="24"/>
          <w:szCs w:val="24"/>
          <w:highlight w:val="none"/>
        </w:rPr>
      </w:pPr>
    </w:p>
    <w:p w14:paraId="390C8467">
      <w:pPr>
        <w:pageBreakBefore w:val="0"/>
        <w:kinsoku/>
        <w:wordWrap/>
        <w:overflowPunct/>
        <w:topLinePunct w:val="0"/>
        <w:bidi w:val="0"/>
        <w:spacing w:line="360" w:lineRule="auto"/>
        <w:jc w:val="both"/>
        <w:textAlignment w:val="auto"/>
        <w:rPr>
          <w:rFonts w:hint="eastAsia" w:ascii="宋体" w:hAnsi="宋体" w:eastAsia="宋体" w:cs="宋体"/>
          <w:kern w:val="0"/>
          <w:sz w:val="24"/>
          <w:szCs w:val="24"/>
          <w:highlight w:val="none"/>
        </w:rPr>
      </w:pPr>
    </w:p>
    <w:p w14:paraId="01A50B0F">
      <w:pPr>
        <w:pageBreakBefore w:val="0"/>
        <w:kinsoku/>
        <w:wordWrap/>
        <w:overflowPunct/>
        <w:topLinePunct w:val="0"/>
        <w:bidi w:val="0"/>
        <w:spacing w:line="360" w:lineRule="auto"/>
        <w:jc w:val="both"/>
        <w:textAlignment w:val="auto"/>
        <w:rPr>
          <w:rFonts w:hint="eastAsia" w:cs="Times New Roman" w:asciiTheme="minorEastAsia" w:hAnsiTheme="minorEastAsia" w:eastAsiaTheme="minorEastAsia"/>
          <w:i/>
          <w:iCs/>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0A187E39">
      <w:pPr>
        <w:pageBreakBefore w:val="0"/>
        <w:kinsoku/>
        <w:wordWrap/>
        <w:overflowPunct/>
        <w:topLinePunct w:val="0"/>
        <w:bidi w:val="0"/>
        <w:spacing w:line="360" w:lineRule="auto"/>
        <w:ind w:left="420" w:leftChars="200"/>
        <w:jc w:val="both"/>
        <w:textAlignment w:val="auto"/>
        <w:rPr>
          <w:rFonts w:hint="eastAsia" w:ascii="宋体" w:hAnsi="宋体" w:eastAsia="宋体" w:cs="宋体"/>
          <w:sz w:val="24"/>
          <w:szCs w:val="24"/>
          <w:highlight w:val="none"/>
        </w:rPr>
      </w:pPr>
    </w:p>
    <w:p w14:paraId="5BF3BA24">
      <w:pPr>
        <w:pageBreakBefore w:val="0"/>
        <w:kinsoku/>
        <w:wordWrap/>
        <w:overflowPunct/>
        <w:topLinePunct w:val="0"/>
        <w:bidi w:val="0"/>
        <w:spacing w:line="360" w:lineRule="auto"/>
        <w:jc w:val="both"/>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56F0F531">
      <w:pPr>
        <w:pageBreakBefore w:val="0"/>
        <w:kinsoku/>
        <w:wordWrap/>
        <w:overflowPunct/>
        <w:topLinePunct w:val="0"/>
        <w:bidi w:val="0"/>
        <w:spacing w:line="360" w:lineRule="auto"/>
        <w:jc w:val="both"/>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16598B53">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7CF21033">
      <w:pPr>
        <w:pageBreakBefore w:val="0"/>
        <w:kinsoku/>
        <w:wordWrap/>
        <w:overflowPunct/>
        <w:topLinePunct w:val="0"/>
        <w:bidi w:val="0"/>
        <w:spacing w:line="360" w:lineRule="auto"/>
        <w:ind w:left="420" w:leftChars="200"/>
        <w:jc w:val="both"/>
        <w:textAlignment w:val="auto"/>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p>
    <w:p w14:paraId="095CDD99">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成交供应商</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p>
    <w:p w14:paraId="5F7C625B">
      <w:pPr>
        <w:pageBreakBefore w:val="0"/>
        <w:kinsoku/>
        <w:wordWrap/>
        <w:overflowPunct/>
        <w:topLinePunct w:val="0"/>
        <w:bidi w:val="0"/>
        <w:spacing w:line="360" w:lineRule="auto"/>
        <w:ind w:left="420" w:leftChars="200"/>
        <w:jc w:val="both"/>
        <w:textAlignment w:val="auto"/>
        <w:rPr>
          <w:rFonts w:hint="eastAsia" w:ascii="宋体" w:hAnsi="宋体" w:eastAsia="宋体" w:cs="宋体"/>
          <w:sz w:val="24"/>
          <w:szCs w:val="24"/>
          <w:highlight w:val="none"/>
        </w:rPr>
      </w:pPr>
    </w:p>
    <w:p w14:paraId="6A6BE150">
      <w:pPr>
        <w:pageBreakBefore w:val="0"/>
        <w:kinsoku/>
        <w:wordWrap/>
        <w:overflowPunct/>
        <w:topLinePunct w:val="0"/>
        <w:bidi w:val="0"/>
        <w:spacing w:line="360" w:lineRule="auto"/>
        <w:jc w:val="both"/>
        <w:textAlignment w:val="auto"/>
        <w:rPr>
          <w:rFonts w:hint="eastAsia" w:ascii="宋体" w:hAnsi="宋体" w:eastAsia="宋体" w:cs="宋体"/>
          <w:sz w:val="24"/>
          <w:szCs w:val="24"/>
          <w:highlight w:val="none"/>
          <w:lang w:val="en-US" w:eastAsia="zh-CN"/>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sz w:val="24"/>
          <w:szCs w:val="24"/>
          <w:highlight w:val="none"/>
        </w:rPr>
        <w:t>签订时间：</w:t>
      </w:r>
      <w:r>
        <w:rPr>
          <w:rFonts w:hint="eastAsia" w:ascii="宋体" w:hAnsi="宋体" w:eastAsia="宋体"/>
          <w:sz w:val="24"/>
          <w:highlight w:val="none"/>
          <w:u w:val="single"/>
        </w:rPr>
        <w:t xml:space="preserve">              </w:t>
      </w:r>
      <w:r>
        <w:rPr>
          <w:rFonts w:hint="eastAsia" w:ascii="宋体" w:hAnsi="宋体" w:eastAsia="宋体"/>
          <w:sz w:val="24"/>
          <w:highlight w:val="none"/>
        </w:rPr>
        <w:t>年</w:t>
      </w:r>
      <w:r>
        <w:rPr>
          <w:rFonts w:hint="eastAsia" w:ascii="宋体" w:hAnsi="宋体" w:eastAsia="宋体"/>
          <w:sz w:val="24"/>
          <w:highlight w:val="none"/>
          <w:u w:val="single"/>
        </w:rPr>
        <w:t xml:space="preserve">       </w:t>
      </w:r>
      <w:r>
        <w:rPr>
          <w:rFonts w:hint="eastAsia" w:ascii="宋体" w:hAnsi="宋体" w:eastAsia="宋体"/>
          <w:sz w:val="24"/>
          <w:highlight w:val="none"/>
        </w:rPr>
        <w:t>月</w:t>
      </w:r>
      <w:r>
        <w:rPr>
          <w:rFonts w:hint="eastAsia" w:ascii="宋体" w:hAnsi="宋体" w:eastAsia="宋体"/>
          <w:sz w:val="24"/>
          <w:highlight w:val="none"/>
          <w:u w:val="single"/>
        </w:rPr>
        <w:t xml:space="preserve">      </w:t>
      </w:r>
      <w:r>
        <w:rPr>
          <w:rFonts w:hint="eastAsia" w:ascii="宋体" w:hAnsi="宋体" w:eastAsia="宋体"/>
          <w:sz w:val="24"/>
          <w:highlight w:val="none"/>
          <w:u w:val="none"/>
          <w:lang w:val="en-US" w:eastAsia="zh-CN"/>
        </w:rPr>
        <w:t>日</w:t>
      </w:r>
    </w:p>
    <w:p w14:paraId="1D6CA193">
      <w:pPr>
        <w:spacing w:line="360" w:lineRule="auto"/>
        <w:ind w:firstLine="480" w:firstLineChars="200"/>
        <w:rPr>
          <w:rFonts w:ascii="宋体" w:hAnsi="宋体" w:eastAsia="宋体"/>
          <w:sz w:val="24"/>
          <w:highlight w:val="none"/>
        </w:rPr>
      </w:pP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以下简称：甲方</w:t>
      </w:r>
      <w:r>
        <w:rPr>
          <w:rFonts w:hint="eastAsia" w:ascii="宋体" w:hAnsi="宋体" w:eastAsia="宋体"/>
          <w:sz w:val="24"/>
          <w:highlight w:val="none"/>
        </w:rPr>
        <w:t>）通过</w:t>
      </w:r>
      <w:r>
        <w:rPr>
          <w:rFonts w:hint="eastAsia" w:ascii="宋体" w:hAnsi="宋体" w:eastAsia="宋体"/>
          <w:sz w:val="24"/>
          <w:highlight w:val="none"/>
          <w:u w:val="single"/>
        </w:rPr>
        <w:t xml:space="preserve">               </w:t>
      </w:r>
      <w:r>
        <w:rPr>
          <w:rFonts w:hint="eastAsia" w:ascii="宋体" w:hAnsi="宋体" w:eastAsia="宋体"/>
          <w:sz w:val="24"/>
          <w:highlight w:val="none"/>
        </w:rPr>
        <w:t>组织的</w:t>
      </w:r>
      <w:r>
        <w:rPr>
          <w:rFonts w:hint="eastAsia" w:ascii="宋体" w:hAnsi="宋体" w:eastAsia="宋体"/>
          <w:sz w:val="24"/>
          <w:highlight w:val="none"/>
          <w:u w:val="single"/>
        </w:rPr>
        <w:t>竞争性</w:t>
      </w:r>
      <w:r>
        <w:rPr>
          <w:rFonts w:hint="eastAsia" w:ascii="宋体" w:hAnsi="宋体"/>
          <w:sz w:val="24"/>
          <w:highlight w:val="none"/>
          <w:u w:val="single"/>
          <w:lang w:eastAsia="zh-CN"/>
        </w:rPr>
        <w:t>谈判</w:t>
      </w:r>
      <w:r>
        <w:rPr>
          <w:rFonts w:hint="eastAsia" w:ascii="宋体" w:hAnsi="宋体" w:eastAsia="宋体"/>
          <w:sz w:val="24"/>
          <w:highlight w:val="none"/>
        </w:rPr>
        <w:t>方式采购活动，经</w:t>
      </w:r>
      <w:r>
        <w:rPr>
          <w:rFonts w:hint="eastAsia" w:ascii="宋体" w:hAnsi="宋体"/>
          <w:sz w:val="24"/>
          <w:highlight w:val="none"/>
          <w:u w:val="single"/>
          <w:lang w:eastAsia="zh-CN"/>
        </w:rPr>
        <w:t>谈判</w:t>
      </w:r>
      <w:r>
        <w:rPr>
          <w:rFonts w:hint="eastAsia" w:ascii="宋体" w:hAnsi="宋体" w:eastAsia="宋体"/>
          <w:sz w:val="24"/>
          <w:highlight w:val="none"/>
          <w:u w:val="single"/>
        </w:rPr>
        <w:t>小组</w:t>
      </w:r>
      <w:r>
        <w:rPr>
          <w:rFonts w:hint="eastAsia" w:ascii="宋体" w:hAnsi="宋体" w:eastAsia="宋体"/>
          <w:sz w:val="24"/>
          <w:highlight w:val="none"/>
        </w:rPr>
        <w:t>评定，</w:t>
      </w:r>
      <w:r>
        <w:rPr>
          <w:rFonts w:hint="eastAsia" w:ascii="宋体" w:hAnsi="宋体" w:eastAsia="宋体"/>
          <w:sz w:val="24"/>
          <w:highlight w:val="none"/>
          <w:u w:val="single"/>
        </w:rPr>
        <w:t xml:space="preserve">               </w:t>
      </w:r>
      <w:r>
        <w:rPr>
          <w:rFonts w:hint="eastAsia" w:ascii="宋体" w:hAnsi="宋体" w:eastAsia="宋体"/>
          <w:sz w:val="24"/>
          <w:highlight w:val="none"/>
        </w:rPr>
        <w:t>（</w:t>
      </w:r>
      <w:r>
        <w:rPr>
          <w:rFonts w:hint="eastAsia" w:ascii="宋体" w:hAnsi="宋体" w:eastAsia="宋体"/>
          <w:sz w:val="24"/>
          <w:highlight w:val="none"/>
          <w:lang w:val="zh-CN"/>
        </w:rPr>
        <w:t>以下简称：乙方</w:t>
      </w:r>
      <w:r>
        <w:rPr>
          <w:rFonts w:hint="eastAsia" w:ascii="宋体" w:hAnsi="宋体" w:eastAsia="宋体"/>
          <w:sz w:val="24"/>
          <w:highlight w:val="none"/>
        </w:rPr>
        <w:t>）为本项目成交供应商，现按照采购文件确定的事项签订本合同。</w:t>
      </w:r>
    </w:p>
    <w:p w14:paraId="0903C70C">
      <w:pPr>
        <w:spacing w:line="360" w:lineRule="auto"/>
        <w:ind w:firstLine="435"/>
        <w:rPr>
          <w:rFonts w:ascii="宋体" w:hAnsi="宋体" w:eastAsia="宋体"/>
          <w:sz w:val="24"/>
          <w:highlight w:val="none"/>
          <w:lang w:val="zh-CN"/>
        </w:rPr>
      </w:pPr>
      <w:r>
        <w:rPr>
          <w:rFonts w:hint="eastAsia" w:ascii="宋体" w:hAnsi="宋体" w:eastAsia="宋体"/>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BAFD38E">
      <w:pPr>
        <w:spacing w:line="360" w:lineRule="auto"/>
        <w:ind w:firstLine="437"/>
        <w:outlineLvl w:val="2"/>
        <w:rPr>
          <w:rFonts w:ascii="宋体" w:hAnsi="宋体" w:eastAsia="宋体"/>
          <w:b/>
          <w:bCs/>
          <w:sz w:val="24"/>
          <w:highlight w:val="none"/>
          <w:lang w:val="zh-CN"/>
        </w:rPr>
      </w:pPr>
      <w:bookmarkStart w:id="58" w:name="_Toc24059"/>
      <w:bookmarkStart w:id="59" w:name="_Toc3029"/>
      <w:bookmarkStart w:id="60" w:name="_Toc2232"/>
      <w:r>
        <w:rPr>
          <w:rFonts w:hint="eastAsia" w:ascii="宋体" w:hAnsi="宋体" w:eastAsia="宋体"/>
          <w:b/>
          <w:bCs/>
          <w:sz w:val="24"/>
          <w:highlight w:val="none"/>
          <w:lang w:val="zh-CN"/>
        </w:rPr>
        <w:t>1</w:t>
      </w:r>
      <w:r>
        <w:rPr>
          <w:rFonts w:ascii="宋体" w:hAnsi="宋体" w:eastAsia="宋体"/>
          <w:b/>
          <w:bCs/>
          <w:sz w:val="24"/>
          <w:highlight w:val="none"/>
          <w:lang w:val="zh-CN"/>
        </w:rPr>
        <w:t xml:space="preserve"> </w:t>
      </w:r>
      <w:r>
        <w:rPr>
          <w:rFonts w:hint="eastAsia" w:ascii="宋体" w:hAnsi="宋体" w:eastAsia="宋体"/>
          <w:b/>
          <w:bCs/>
          <w:sz w:val="24"/>
          <w:highlight w:val="none"/>
          <w:lang w:val="zh-CN"/>
        </w:rPr>
        <w:t>合同组成部分</w:t>
      </w:r>
      <w:bookmarkEnd w:id="58"/>
      <w:bookmarkEnd w:id="59"/>
      <w:bookmarkEnd w:id="60"/>
    </w:p>
    <w:p w14:paraId="0A86F7A5">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6BE01506">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1.1本合同及其补充合同、变更协议；</w:t>
      </w:r>
    </w:p>
    <w:p w14:paraId="45414318">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1.2成交通知书；</w:t>
      </w:r>
    </w:p>
    <w:p w14:paraId="7E58A307">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1.3响应文件（含澄清或者说明文件）；</w:t>
      </w:r>
    </w:p>
    <w:p w14:paraId="360EB513">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1.4</w:t>
      </w:r>
      <w:r>
        <w:rPr>
          <w:rFonts w:hint="eastAsia" w:ascii="宋体" w:hAnsi="宋体"/>
          <w:sz w:val="24"/>
          <w:highlight w:val="none"/>
          <w:lang w:val="zh-CN"/>
        </w:rPr>
        <w:t>谈判</w:t>
      </w:r>
      <w:r>
        <w:rPr>
          <w:rFonts w:hint="eastAsia" w:ascii="宋体" w:hAnsi="宋体" w:eastAsia="宋体"/>
          <w:sz w:val="24"/>
          <w:highlight w:val="none"/>
          <w:lang w:val="zh-CN"/>
        </w:rPr>
        <w:t>文件（含澄清或者修改文件）；</w:t>
      </w:r>
    </w:p>
    <w:p w14:paraId="519C6529">
      <w:pPr>
        <w:spacing w:line="360" w:lineRule="auto"/>
        <w:ind w:firstLine="435"/>
        <w:rPr>
          <w:rFonts w:ascii="宋体" w:hAnsi="宋体" w:eastAsia="宋体"/>
          <w:sz w:val="24"/>
          <w:highlight w:val="none"/>
          <w:lang w:val="zh-CN"/>
        </w:rPr>
      </w:pPr>
      <w:r>
        <w:rPr>
          <w:rFonts w:hint="eastAsia" w:ascii="宋体" w:hAnsi="宋体" w:eastAsia="宋体"/>
          <w:sz w:val="24"/>
          <w:highlight w:val="none"/>
          <w:lang w:val="zh-CN"/>
        </w:rPr>
        <w:t>1.5其他相关采购文件。</w:t>
      </w:r>
    </w:p>
    <w:p w14:paraId="5A12C8EF">
      <w:pPr>
        <w:spacing w:line="360" w:lineRule="auto"/>
        <w:ind w:firstLine="437"/>
        <w:outlineLvl w:val="2"/>
        <w:rPr>
          <w:rFonts w:ascii="宋体" w:hAnsi="宋体" w:eastAsia="宋体"/>
          <w:b/>
          <w:bCs/>
          <w:sz w:val="24"/>
          <w:highlight w:val="none"/>
          <w:lang w:val="zh-CN"/>
        </w:rPr>
      </w:pPr>
      <w:bookmarkStart w:id="61" w:name="_Toc6311"/>
      <w:bookmarkStart w:id="62" w:name="_Toc2918"/>
      <w:bookmarkStart w:id="63" w:name="_Toc22185"/>
      <w:bookmarkStart w:id="64" w:name="_Toc6773"/>
      <w:bookmarkStart w:id="65" w:name="_Toc18585"/>
      <w:r>
        <w:rPr>
          <w:rFonts w:hint="eastAsia" w:ascii="宋体" w:hAnsi="宋体" w:eastAsia="宋体"/>
          <w:b/>
          <w:bCs/>
          <w:sz w:val="24"/>
          <w:highlight w:val="none"/>
          <w:lang w:val="zh-CN"/>
        </w:rPr>
        <w:t xml:space="preserve">2 </w:t>
      </w:r>
      <w:bookmarkEnd w:id="61"/>
      <w:bookmarkEnd w:id="62"/>
      <w:bookmarkEnd w:id="63"/>
      <w:bookmarkEnd w:id="64"/>
      <w:bookmarkEnd w:id="65"/>
      <w:r>
        <w:rPr>
          <w:rFonts w:hint="eastAsia" w:ascii="宋体" w:hAnsi="宋体" w:eastAsia="宋体"/>
          <w:b/>
          <w:bCs/>
          <w:sz w:val="24"/>
          <w:highlight w:val="none"/>
          <w:lang w:val="zh-CN"/>
        </w:rPr>
        <w:t>服务</w:t>
      </w:r>
    </w:p>
    <w:p w14:paraId="3B0C6DB3">
      <w:pPr>
        <w:spacing w:line="360" w:lineRule="auto"/>
        <w:ind w:firstLine="435"/>
        <w:rPr>
          <w:rFonts w:ascii="宋体" w:hAnsi="宋体" w:eastAsia="宋体"/>
          <w:sz w:val="24"/>
          <w:highlight w:val="none"/>
          <w:u w:val="single"/>
        </w:rPr>
      </w:pPr>
      <w:r>
        <w:rPr>
          <w:rFonts w:hint="eastAsia" w:ascii="宋体" w:hAnsi="宋体" w:eastAsia="宋体"/>
          <w:sz w:val="24"/>
          <w:highlight w:val="none"/>
        </w:rPr>
        <w:t>2.1服务</w:t>
      </w:r>
      <w:r>
        <w:rPr>
          <w:rFonts w:ascii="宋体" w:hAnsi="宋体" w:eastAsia="宋体"/>
          <w:sz w:val="24"/>
          <w:highlight w:val="none"/>
        </w:rPr>
        <w:t>名称：</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313F6109">
      <w:pPr>
        <w:spacing w:line="360" w:lineRule="auto"/>
        <w:ind w:firstLine="435"/>
        <w:rPr>
          <w:rFonts w:ascii="宋体" w:hAnsi="宋体" w:eastAsia="宋体"/>
          <w:sz w:val="24"/>
          <w:highlight w:val="none"/>
          <w:u w:val="single"/>
        </w:rPr>
      </w:pPr>
      <w:r>
        <w:rPr>
          <w:rFonts w:hint="eastAsia" w:ascii="宋体" w:hAnsi="宋体" w:eastAsia="宋体"/>
          <w:sz w:val="24"/>
          <w:highlight w:val="none"/>
        </w:rPr>
        <w:t>2.2服务内容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67D7AF2">
      <w:pPr>
        <w:spacing w:line="360" w:lineRule="auto"/>
        <w:ind w:firstLine="435"/>
        <w:rPr>
          <w:rFonts w:ascii="宋体" w:hAnsi="宋体" w:eastAsia="宋体"/>
          <w:sz w:val="24"/>
          <w:highlight w:val="none"/>
        </w:rPr>
      </w:pPr>
      <w:r>
        <w:rPr>
          <w:rFonts w:hint="eastAsia" w:ascii="宋体" w:hAnsi="宋体" w:eastAsia="宋体"/>
          <w:sz w:val="24"/>
          <w:highlight w:val="none"/>
        </w:rPr>
        <w:t>2.3服务质量：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682EBAE7">
      <w:pPr>
        <w:spacing w:line="360" w:lineRule="auto"/>
        <w:ind w:firstLine="437"/>
        <w:outlineLvl w:val="2"/>
        <w:rPr>
          <w:rFonts w:ascii="宋体" w:hAnsi="宋体" w:eastAsia="宋体"/>
          <w:b/>
          <w:bCs/>
          <w:sz w:val="24"/>
          <w:highlight w:val="none"/>
          <w:lang w:val="zh-CN"/>
        </w:rPr>
      </w:pPr>
      <w:bookmarkStart w:id="66" w:name="_Toc21551"/>
      <w:bookmarkStart w:id="67" w:name="_Toc23292"/>
      <w:bookmarkStart w:id="68" w:name="_Toc21631"/>
      <w:r>
        <w:rPr>
          <w:rFonts w:ascii="宋体" w:hAnsi="宋体" w:eastAsia="宋体"/>
          <w:b/>
          <w:bCs/>
          <w:sz w:val="24"/>
          <w:highlight w:val="none"/>
          <w:lang w:val="zh-CN"/>
        </w:rPr>
        <w:t xml:space="preserve">3 </w:t>
      </w:r>
      <w:r>
        <w:rPr>
          <w:rFonts w:hint="eastAsia" w:ascii="宋体" w:hAnsi="宋体" w:eastAsia="宋体"/>
          <w:b/>
          <w:bCs/>
          <w:sz w:val="24"/>
          <w:highlight w:val="none"/>
          <w:lang w:val="zh-CN"/>
        </w:rPr>
        <w:t>价款</w:t>
      </w:r>
      <w:bookmarkEnd w:id="66"/>
      <w:bookmarkEnd w:id="67"/>
      <w:bookmarkEnd w:id="68"/>
    </w:p>
    <w:p w14:paraId="5837E2CD">
      <w:pPr>
        <w:spacing w:line="360" w:lineRule="auto"/>
        <w:ind w:firstLine="435"/>
        <w:rPr>
          <w:rFonts w:ascii="宋体" w:hAnsi="宋体" w:eastAsia="宋体"/>
          <w:sz w:val="24"/>
          <w:highlight w:val="none"/>
        </w:rPr>
      </w:pPr>
      <w:r>
        <w:rPr>
          <w:rFonts w:ascii="宋体" w:hAnsi="宋体" w:eastAsia="宋体"/>
          <w:sz w:val="24"/>
          <w:highlight w:val="none"/>
        </w:rPr>
        <w:t>本合同总价为</w:t>
      </w:r>
      <w:r>
        <w:rPr>
          <w:rFonts w:hint="eastAsia" w:ascii="宋体" w:hAnsi="宋体" w:eastAsia="宋体"/>
          <w:sz w:val="24"/>
          <w:highlight w:val="none"/>
        </w:rPr>
        <w:t>：￥</w:t>
      </w:r>
      <w:r>
        <w:rPr>
          <w:rFonts w:hint="eastAsia" w:ascii="宋体" w:hAnsi="宋体" w:eastAsia="宋体"/>
          <w:sz w:val="24"/>
          <w:highlight w:val="none"/>
          <w:u w:val="single"/>
        </w:rPr>
        <w:t xml:space="preserve">           </w:t>
      </w:r>
      <w:r>
        <w:rPr>
          <w:rFonts w:ascii="宋体" w:hAnsi="宋体" w:eastAsia="宋体"/>
          <w:sz w:val="24"/>
          <w:highlight w:val="none"/>
        </w:rPr>
        <w:t>元</w:t>
      </w:r>
      <w:r>
        <w:rPr>
          <w:rFonts w:hint="eastAsia" w:ascii="宋体" w:hAnsi="宋体" w:eastAsia="宋体"/>
          <w:sz w:val="24"/>
          <w:highlight w:val="none"/>
        </w:rPr>
        <w:t>（大写：人民币</w:t>
      </w:r>
      <w:r>
        <w:rPr>
          <w:rFonts w:hint="eastAsia" w:ascii="宋体" w:hAnsi="宋体" w:eastAsia="宋体"/>
          <w:sz w:val="24"/>
          <w:highlight w:val="none"/>
          <w:u w:val="single"/>
        </w:rPr>
        <w:t xml:space="preserve">                 </w:t>
      </w:r>
      <w:r>
        <w:rPr>
          <w:rFonts w:hint="eastAsia" w:ascii="宋体" w:hAnsi="宋体" w:eastAsia="宋体"/>
          <w:sz w:val="24"/>
          <w:highlight w:val="none"/>
        </w:rPr>
        <w:t>元）</w:t>
      </w:r>
      <w:r>
        <w:rPr>
          <w:rFonts w:ascii="宋体" w:hAnsi="宋体" w:eastAsia="宋体"/>
          <w:sz w:val="24"/>
          <w:highlight w:val="none"/>
        </w:rPr>
        <w:t>。</w:t>
      </w:r>
    </w:p>
    <w:p w14:paraId="061275F7">
      <w:pPr>
        <w:spacing w:line="360" w:lineRule="auto"/>
        <w:ind w:firstLine="437"/>
        <w:outlineLvl w:val="2"/>
        <w:rPr>
          <w:rFonts w:ascii="宋体" w:hAnsi="宋体" w:eastAsia="宋体"/>
          <w:b/>
          <w:bCs/>
          <w:sz w:val="24"/>
          <w:highlight w:val="none"/>
          <w:lang w:val="zh-CN"/>
        </w:rPr>
      </w:pPr>
      <w:bookmarkStart w:id="69" w:name="_Toc22618"/>
      <w:bookmarkStart w:id="70" w:name="_Toc10340"/>
      <w:bookmarkStart w:id="71" w:name="_Toc1814"/>
      <w:r>
        <w:rPr>
          <w:rFonts w:ascii="宋体" w:hAnsi="宋体" w:eastAsia="宋体"/>
          <w:b/>
          <w:bCs/>
          <w:sz w:val="24"/>
          <w:highlight w:val="none"/>
          <w:lang w:val="zh-CN"/>
        </w:rPr>
        <w:t>4 付款方式和发票开具方式</w:t>
      </w:r>
      <w:bookmarkEnd w:id="69"/>
      <w:bookmarkEnd w:id="70"/>
      <w:bookmarkEnd w:id="71"/>
    </w:p>
    <w:p w14:paraId="71BA608B">
      <w:pPr>
        <w:spacing w:line="360" w:lineRule="auto"/>
        <w:ind w:firstLine="435"/>
        <w:rPr>
          <w:rFonts w:ascii="宋体" w:hAnsi="宋体" w:eastAsia="宋体"/>
          <w:sz w:val="24"/>
          <w:highlight w:val="none"/>
        </w:rPr>
      </w:pPr>
      <w:r>
        <w:rPr>
          <w:rFonts w:hint="eastAsia" w:ascii="宋体" w:hAnsi="宋体" w:eastAsia="宋体"/>
          <w:sz w:val="24"/>
          <w:highlight w:val="none"/>
        </w:rPr>
        <w:t>4.1</w:t>
      </w:r>
      <w:r>
        <w:rPr>
          <w:rFonts w:ascii="宋体" w:hAnsi="宋体" w:eastAsia="宋体"/>
          <w:sz w:val="24"/>
          <w:highlight w:val="none"/>
        </w:rPr>
        <w:t>付款方式：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4EF80F62">
      <w:pPr>
        <w:spacing w:line="360" w:lineRule="auto"/>
        <w:ind w:firstLine="435"/>
        <w:rPr>
          <w:rFonts w:ascii="宋体" w:hAnsi="宋体" w:eastAsia="宋体"/>
          <w:sz w:val="24"/>
          <w:highlight w:val="none"/>
        </w:rPr>
      </w:pPr>
      <w:r>
        <w:rPr>
          <w:rFonts w:hint="eastAsia" w:ascii="宋体" w:hAnsi="宋体" w:eastAsia="宋体"/>
          <w:sz w:val="24"/>
          <w:highlight w:val="none"/>
        </w:rPr>
        <w:t>4.2发票开具方式：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220564D3">
      <w:pPr>
        <w:spacing w:line="360" w:lineRule="auto"/>
        <w:ind w:firstLine="437"/>
        <w:outlineLvl w:val="2"/>
        <w:rPr>
          <w:rFonts w:ascii="宋体" w:hAnsi="宋体" w:eastAsia="宋体"/>
          <w:b/>
          <w:bCs/>
          <w:sz w:val="24"/>
          <w:highlight w:val="none"/>
          <w:lang w:val="zh-CN"/>
        </w:rPr>
      </w:pPr>
      <w:bookmarkStart w:id="72" w:name="_Toc19304"/>
      <w:bookmarkStart w:id="73" w:name="_Toc2846"/>
      <w:bookmarkStart w:id="74" w:name="_Toc32071"/>
      <w:r>
        <w:rPr>
          <w:rFonts w:ascii="宋体" w:hAnsi="宋体" w:eastAsia="宋体"/>
          <w:b/>
          <w:bCs/>
          <w:sz w:val="24"/>
          <w:highlight w:val="none"/>
          <w:lang w:val="zh-CN"/>
        </w:rPr>
        <w:t xml:space="preserve">5 </w:t>
      </w:r>
      <w:r>
        <w:rPr>
          <w:rFonts w:hint="eastAsia" w:ascii="宋体" w:hAnsi="宋体" w:eastAsia="宋体"/>
          <w:b/>
          <w:bCs/>
          <w:sz w:val="24"/>
          <w:highlight w:val="none"/>
          <w:lang w:val="zh-CN"/>
        </w:rPr>
        <w:t>服务</w:t>
      </w:r>
      <w:r>
        <w:rPr>
          <w:rFonts w:ascii="宋体" w:hAnsi="宋体" w:eastAsia="宋体"/>
          <w:b/>
          <w:bCs/>
          <w:sz w:val="24"/>
          <w:highlight w:val="none"/>
          <w:lang w:val="zh-CN"/>
        </w:rPr>
        <w:t>期限</w:t>
      </w:r>
      <w:r>
        <w:rPr>
          <w:rFonts w:hint="eastAsia" w:ascii="宋体" w:hAnsi="宋体" w:eastAsia="宋体"/>
          <w:b/>
          <w:bCs/>
          <w:sz w:val="24"/>
          <w:highlight w:val="none"/>
          <w:lang w:val="zh-CN"/>
        </w:rPr>
        <w:t>、地点和方式</w:t>
      </w:r>
      <w:bookmarkEnd w:id="72"/>
      <w:bookmarkEnd w:id="73"/>
      <w:bookmarkEnd w:id="74"/>
    </w:p>
    <w:p w14:paraId="52FD8320">
      <w:pPr>
        <w:spacing w:line="360" w:lineRule="auto"/>
        <w:ind w:firstLine="435"/>
        <w:rPr>
          <w:rFonts w:ascii="宋体" w:hAnsi="宋体" w:eastAsia="宋体"/>
          <w:sz w:val="24"/>
          <w:highlight w:val="none"/>
          <w:u w:val="single"/>
        </w:rPr>
      </w:pPr>
      <w:r>
        <w:rPr>
          <w:rFonts w:hint="eastAsia" w:ascii="宋体" w:hAnsi="宋体" w:eastAsia="宋体"/>
          <w:sz w:val="24"/>
          <w:highlight w:val="none"/>
        </w:rPr>
        <w:t>5.1服务期限</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78834CCF">
      <w:pPr>
        <w:spacing w:line="360" w:lineRule="auto"/>
        <w:ind w:firstLine="435"/>
        <w:rPr>
          <w:rFonts w:ascii="宋体" w:hAnsi="宋体" w:eastAsia="宋体"/>
          <w:sz w:val="24"/>
          <w:highlight w:val="none"/>
        </w:rPr>
      </w:pPr>
      <w:r>
        <w:rPr>
          <w:rFonts w:hint="eastAsia" w:ascii="宋体" w:hAnsi="宋体" w:eastAsia="宋体"/>
          <w:sz w:val="24"/>
          <w:highlight w:val="none"/>
        </w:rPr>
        <w:t>1.5.2服务地点</w:t>
      </w:r>
      <w:r>
        <w:rPr>
          <w:rFonts w:ascii="宋体" w:hAnsi="宋体" w:eastAsia="宋体"/>
          <w:sz w:val="24"/>
          <w:highlight w:val="none"/>
        </w:rPr>
        <w:t>：</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C9EDF90">
      <w:pPr>
        <w:spacing w:line="360" w:lineRule="auto"/>
        <w:ind w:firstLine="435"/>
        <w:rPr>
          <w:rFonts w:ascii="宋体" w:hAnsi="宋体" w:eastAsia="宋体"/>
          <w:sz w:val="24"/>
          <w:highlight w:val="none"/>
        </w:rPr>
      </w:pPr>
      <w:r>
        <w:rPr>
          <w:rFonts w:hint="eastAsia" w:ascii="宋体" w:hAnsi="宋体" w:eastAsia="宋体"/>
          <w:sz w:val="24"/>
          <w:highlight w:val="none"/>
        </w:rPr>
        <w:t>1.5.3服务方式：</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22B4E2C">
      <w:pPr>
        <w:spacing w:line="360" w:lineRule="auto"/>
        <w:ind w:firstLine="437"/>
        <w:outlineLvl w:val="2"/>
        <w:rPr>
          <w:rFonts w:ascii="宋体" w:hAnsi="宋体" w:eastAsia="宋体"/>
          <w:b/>
          <w:bCs/>
          <w:sz w:val="24"/>
          <w:highlight w:val="none"/>
          <w:lang w:val="zh-CN"/>
        </w:rPr>
      </w:pPr>
      <w:bookmarkStart w:id="75" w:name="_Toc21423"/>
      <w:bookmarkStart w:id="76" w:name="_Toc19554"/>
      <w:bookmarkStart w:id="77" w:name="_Toc27250"/>
      <w:r>
        <w:rPr>
          <w:rFonts w:hint="eastAsia" w:ascii="宋体" w:hAnsi="宋体" w:eastAsia="宋体"/>
          <w:b/>
          <w:bCs/>
          <w:sz w:val="24"/>
          <w:highlight w:val="none"/>
          <w:lang w:val="zh-CN"/>
        </w:rPr>
        <w:t>6 违约责任</w:t>
      </w:r>
      <w:bookmarkEnd w:id="75"/>
      <w:bookmarkEnd w:id="76"/>
      <w:bookmarkEnd w:id="77"/>
    </w:p>
    <w:p w14:paraId="4AA07172">
      <w:pPr>
        <w:spacing w:line="360" w:lineRule="auto"/>
        <w:ind w:firstLine="435"/>
        <w:rPr>
          <w:rFonts w:ascii="宋体" w:hAnsi="宋体" w:eastAsia="宋体"/>
          <w:sz w:val="24"/>
          <w:highlight w:val="none"/>
        </w:rPr>
      </w:pPr>
      <w:bookmarkStart w:id="78" w:name="_Toc15583"/>
      <w:bookmarkStart w:id="79" w:name="_Toc16021"/>
      <w:bookmarkStart w:id="80" w:name="_Toc28375"/>
      <w:r>
        <w:rPr>
          <w:rFonts w:hint="eastAsia" w:ascii="宋体" w:hAnsi="宋体" w:eastAsia="宋体"/>
          <w:sz w:val="24"/>
          <w:highlight w:val="none"/>
        </w:rPr>
        <w:t>6.1</w:t>
      </w:r>
      <w:r>
        <w:rPr>
          <w:rFonts w:ascii="宋体" w:hAnsi="宋体" w:eastAsia="宋体"/>
          <w:sz w:val="24"/>
          <w:highlight w:val="none"/>
        </w:rPr>
        <w:t>除不可抗力外，如果乙方没有按照本合同约定的期限</w:t>
      </w:r>
      <w:r>
        <w:rPr>
          <w:rFonts w:hint="eastAsia" w:ascii="宋体" w:hAnsi="宋体" w:eastAsia="宋体"/>
          <w:sz w:val="24"/>
          <w:highlight w:val="none"/>
        </w:rPr>
        <w:t>、</w:t>
      </w:r>
      <w:r>
        <w:rPr>
          <w:rFonts w:ascii="宋体" w:hAnsi="宋体" w:eastAsia="宋体"/>
          <w:sz w:val="24"/>
          <w:highlight w:val="none"/>
        </w:rPr>
        <w:t>地点和方式</w:t>
      </w:r>
      <w:r>
        <w:rPr>
          <w:rFonts w:hint="eastAsia" w:ascii="宋体" w:hAnsi="宋体" w:eastAsia="宋体"/>
          <w:sz w:val="24"/>
          <w:highlight w:val="none"/>
        </w:rPr>
        <w:t>履行</w:t>
      </w:r>
      <w:r>
        <w:rPr>
          <w:rFonts w:ascii="宋体" w:hAnsi="宋体" w:eastAsia="宋体"/>
          <w:sz w:val="24"/>
          <w:highlight w:val="none"/>
        </w:rPr>
        <w:t>，那么甲方可要求乙方支付违约金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履行</w:t>
      </w:r>
      <w:r>
        <w:rPr>
          <w:rFonts w:ascii="宋体" w:hAnsi="宋体" w:eastAsia="宋体"/>
          <w:sz w:val="24"/>
          <w:highlight w:val="none"/>
        </w:rPr>
        <w:t>一日的应提供而未</w:t>
      </w:r>
      <w:r>
        <w:rPr>
          <w:rFonts w:hint="eastAsia" w:ascii="宋体" w:hAnsi="宋体" w:eastAsia="宋体"/>
          <w:sz w:val="24"/>
          <w:highlight w:val="none"/>
        </w:rPr>
        <w:t>提供</w:t>
      </w:r>
      <w:r>
        <w:rPr>
          <w:rFonts w:ascii="宋体" w:hAnsi="宋体" w:eastAsia="宋体"/>
          <w:sz w:val="24"/>
          <w:highlight w:val="none"/>
        </w:rPr>
        <w:t>服务价格的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0.3</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sz w:val="24"/>
          <w:highlight w:val="none"/>
          <w:u w:val="single"/>
          <w:lang w:val="en-US" w:eastAsia="zh-CN"/>
        </w:rPr>
        <w:t>15</w:t>
      </w:r>
      <w:r>
        <w:rPr>
          <w:rFonts w:hint="eastAsia" w:ascii="宋体" w:hAnsi="宋体" w:eastAsia="宋体"/>
          <w:sz w:val="24"/>
          <w:highlight w:val="none"/>
          <w:u w:val="single"/>
          <w:lang w:val="en-US" w:eastAsia="zh-CN"/>
        </w:rPr>
        <w:t xml:space="preserve"> </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履行</w:t>
      </w:r>
      <w:r>
        <w:rPr>
          <w:rFonts w:ascii="宋体" w:hAnsi="宋体" w:eastAsia="宋体"/>
          <w:sz w:val="24"/>
          <w:highlight w:val="none"/>
        </w:rPr>
        <w:t>的违约金计算数额达到前述最高限额之日起</w:t>
      </w:r>
      <w:r>
        <w:rPr>
          <w:rFonts w:hint="eastAsia" w:ascii="宋体" w:hAnsi="宋体" w:eastAsia="宋体"/>
          <w:sz w:val="24"/>
          <w:highlight w:val="none"/>
        </w:rPr>
        <w:t>，</w:t>
      </w:r>
      <w:r>
        <w:rPr>
          <w:rFonts w:ascii="宋体" w:hAnsi="宋体" w:eastAsia="宋体"/>
          <w:sz w:val="24"/>
          <w:highlight w:val="none"/>
        </w:rPr>
        <w:t>甲方有权在要求乙方支付违约金的同时</w:t>
      </w:r>
      <w:r>
        <w:rPr>
          <w:rFonts w:hint="eastAsia" w:ascii="宋体" w:hAnsi="宋体" w:eastAsia="宋体"/>
          <w:sz w:val="24"/>
          <w:highlight w:val="none"/>
        </w:rPr>
        <w:t>，书面通知乙方</w:t>
      </w:r>
      <w:r>
        <w:rPr>
          <w:rFonts w:ascii="宋体" w:hAnsi="宋体" w:eastAsia="宋体"/>
          <w:sz w:val="24"/>
          <w:highlight w:val="none"/>
        </w:rPr>
        <w:t>解除本合同</w:t>
      </w:r>
      <w:r>
        <w:rPr>
          <w:rFonts w:hint="eastAsia" w:ascii="宋体" w:hAnsi="宋体" w:eastAsia="宋体"/>
          <w:sz w:val="24"/>
          <w:highlight w:val="none"/>
        </w:rPr>
        <w:t>；</w:t>
      </w:r>
    </w:p>
    <w:p w14:paraId="7972BFFF">
      <w:pPr>
        <w:spacing w:line="360" w:lineRule="auto"/>
        <w:ind w:firstLine="435"/>
        <w:rPr>
          <w:rFonts w:ascii="宋体" w:hAnsi="宋体" w:eastAsia="宋体"/>
          <w:sz w:val="24"/>
          <w:highlight w:val="none"/>
        </w:rPr>
      </w:pPr>
      <w:r>
        <w:rPr>
          <w:rFonts w:hint="eastAsia" w:ascii="宋体" w:hAnsi="宋体" w:eastAsia="宋体"/>
          <w:sz w:val="24"/>
          <w:highlight w:val="none"/>
        </w:rPr>
        <w:t>6.2</w:t>
      </w:r>
      <w:r>
        <w:rPr>
          <w:rFonts w:ascii="宋体" w:hAnsi="宋体" w:eastAsia="宋体"/>
          <w:sz w:val="24"/>
          <w:highlight w:val="none"/>
        </w:rPr>
        <w:t>除不可抗力外，如果甲方没有按照本合同约定的付款方式付款，那么乙方可要求甲方支付违约金</w:t>
      </w:r>
      <w:r>
        <w:rPr>
          <w:rFonts w:hint="eastAsia" w:ascii="宋体" w:hAnsi="宋体" w:eastAsia="宋体"/>
          <w:sz w:val="24"/>
          <w:highlight w:val="none"/>
        </w:rPr>
        <w:t>，</w:t>
      </w:r>
      <w:r>
        <w:rPr>
          <w:rFonts w:ascii="宋体" w:hAnsi="宋体" w:eastAsia="宋体"/>
          <w:sz w:val="24"/>
          <w:highlight w:val="none"/>
        </w:rPr>
        <w:t>违约金按每迟延</w:t>
      </w:r>
      <w:r>
        <w:rPr>
          <w:rFonts w:hint="eastAsia" w:ascii="宋体" w:hAnsi="宋体" w:eastAsia="宋体"/>
          <w:sz w:val="24"/>
          <w:highlight w:val="none"/>
        </w:rPr>
        <w:t>付款</w:t>
      </w:r>
      <w:r>
        <w:rPr>
          <w:rFonts w:ascii="宋体" w:hAnsi="宋体" w:eastAsia="宋体"/>
          <w:sz w:val="24"/>
          <w:highlight w:val="none"/>
        </w:rPr>
        <w:t>一日的应付而未付款的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0.3 </w:t>
      </w:r>
      <w:r>
        <w:rPr>
          <w:rFonts w:hint="eastAsia" w:ascii="宋体" w:hAnsi="宋体" w:eastAsia="宋体"/>
          <w:sz w:val="24"/>
          <w:highlight w:val="none"/>
          <w:u w:val="single"/>
        </w:rPr>
        <w:t xml:space="preserve"> </w:t>
      </w:r>
      <w:r>
        <w:rPr>
          <w:rFonts w:ascii="宋体" w:hAnsi="宋体" w:eastAsia="宋体"/>
          <w:sz w:val="24"/>
          <w:highlight w:val="none"/>
        </w:rPr>
        <w:t>%计算</w:t>
      </w:r>
      <w:r>
        <w:rPr>
          <w:rFonts w:hint="eastAsia" w:ascii="宋体" w:hAnsi="宋体" w:eastAsia="宋体"/>
          <w:sz w:val="24"/>
          <w:highlight w:val="none"/>
        </w:rPr>
        <w:t>，</w:t>
      </w:r>
      <w:r>
        <w:rPr>
          <w:rFonts w:ascii="宋体" w:hAnsi="宋体" w:eastAsia="宋体"/>
          <w:sz w:val="24"/>
          <w:highlight w:val="none"/>
        </w:rPr>
        <w:t>最高限额为</w:t>
      </w:r>
      <w:r>
        <w:rPr>
          <w:rFonts w:hint="eastAsia" w:ascii="宋体" w:hAnsi="宋体" w:eastAsia="宋体"/>
          <w:sz w:val="24"/>
          <w:highlight w:val="none"/>
        </w:rPr>
        <w:t>本</w:t>
      </w:r>
      <w:r>
        <w:rPr>
          <w:rFonts w:ascii="宋体" w:hAnsi="宋体" w:eastAsia="宋体"/>
          <w:sz w:val="24"/>
          <w:highlight w:val="none"/>
        </w:rPr>
        <w:t>合同总价的</w:t>
      </w:r>
      <w:r>
        <w:rPr>
          <w:rFonts w:hint="eastAsia" w:ascii="宋体" w:hAnsi="宋体" w:eastAsia="宋体"/>
          <w:sz w:val="24"/>
          <w:highlight w:val="none"/>
          <w:u w:val="single"/>
        </w:rPr>
        <w:t xml:space="preserve"> </w:t>
      </w:r>
      <w:r>
        <w:rPr>
          <w:rFonts w:hint="eastAsia" w:ascii="宋体" w:hAnsi="宋体" w:eastAsia="宋体"/>
          <w:sz w:val="24"/>
          <w:highlight w:val="none"/>
          <w:u w:val="single"/>
          <w:lang w:val="en-US" w:eastAsia="zh-CN"/>
        </w:rPr>
        <w:t xml:space="preserve"> </w:t>
      </w:r>
      <w:r>
        <w:rPr>
          <w:rFonts w:hint="eastAsia" w:ascii="宋体" w:hAnsi="宋体"/>
          <w:sz w:val="24"/>
          <w:highlight w:val="none"/>
          <w:u w:val="single"/>
          <w:lang w:val="en-US" w:eastAsia="zh-CN"/>
        </w:rPr>
        <w:t>15</w:t>
      </w:r>
      <w:r>
        <w:rPr>
          <w:rFonts w:hint="eastAsia" w:ascii="宋体" w:hAnsi="宋体" w:eastAsia="宋体"/>
          <w:sz w:val="24"/>
          <w:highlight w:val="none"/>
          <w:u w:val="single"/>
          <w:lang w:val="en-US" w:eastAsia="zh-CN"/>
        </w:rPr>
        <w:t xml:space="preserve"> </w:t>
      </w:r>
      <w:r>
        <w:rPr>
          <w:rFonts w:hint="eastAsia" w:ascii="宋体" w:hAnsi="宋体" w:eastAsia="宋体"/>
          <w:sz w:val="24"/>
          <w:highlight w:val="none"/>
          <w:u w:val="single"/>
        </w:rPr>
        <w:t xml:space="preserve"> </w:t>
      </w:r>
      <w:r>
        <w:rPr>
          <w:rFonts w:ascii="宋体" w:hAnsi="宋体" w:eastAsia="宋体"/>
          <w:sz w:val="24"/>
          <w:highlight w:val="none"/>
        </w:rPr>
        <w:t>%</w:t>
      </w:r>
      <w:r>
        <w:rPr>
          <w:rFonts w:hint="eastAsia" w:ascii="宋体" w:hAnsi="宋体" w:eastAsia="宋体"/>
          <w:sz w:val="24"/>
          <w:highlight w:val="none"/>
        </w:rPr>
        <w:t>；</w:t>
      </w:r>
      <w:r>
        <w:rPr>
          <w:rFonts w:ascii="宋体" w:hAnsi="宋体" w:eastAsia="宋体"/>
          <w:sz w:val="24"/>
          <w:highlight w:val="none"/>
        </w:rPr>
        <w:t>迟延</w:t>
      </w:r>
      <w:r>
        <w:rPr>
          <w:rFonts w:hint="eastAsia" w:ascii="宋体" w:hAnsi="宋体" w:eastAsia="宋体"/>
          <w:sz w:val="24"/>
          <w:highlight w:val="none"/>
        </w:rPr>
        <w:t>付款</w:t>
      </w:r>
      <w:r>
        <w:rPr>
          <w:rFonts w:ascii="宋体" w:hAnsi="宋体" w:eastAsia="宋体"/>
          <w:sz w:val="24"/>
          <w:highlight w:val="none"/>
        </w:rPr>
        <w:t>的违约金计算数额达到前述最高限额之日起</w:t>
      </w:r>
      <w:r>
        <w:rPr>
          <w:rFonts w:hint="eastAsia" w:ascii="宋体" w:hAnsi="宋体" w:eastAsia="宋体"/>
          <w:sz w:val="24"/>
          <w:highlight w:val="none"/>
        </w:rPr>
        <w:t>，乙</w:t>
      </w:r>
      <w:r>
        <w:rPr>
          <w:rFonts w:ascii="宋体" w:hAnsi="宋体" w:eastAsia="宋体"/>
          <w:sz w:val="24"/>
          <w:highlight w:val="none"/>
        </w:rPr>
        <w:t>方有权在要求甲方支付违约金的同时</w:t>
      </w:r>
      <w:r>
        <w:rPr>
          <w:rFonts w:hint="eastAsia" w:ascii="宋体" w:hAnsi="宋体" w:eastAsia="宋体"/>
          <w:sz w:val="24"/>
          <w:highlight w:val="none"/>
        </w:rPr>
        <w:t>，书面通知甲方</w:t>
      </w:r>
      <w:r>
        <w:rPr>
          <w:rFonts w:ascii="宋体" w:hAnsi="宋体" w:eastAsia="宋体"/>
          <w:sz w:val="24"/>
          <w:highlight w:val="none"/>
        </w:rPr>
        <w:t>解除本合同</w:t>
      </w:r>
      <w:r>
        <w:rPr>
          <w:rFonts w:hint="eastAsia" w:ascii="宋体" w:hAnsi="宋体" w:eastAsia="宋体"/>
          <w:sz w:val="24"/>
          <w:highlight w:val="none"/>
        </w:rPr>
        <w:t>；</w:t>
      </w:r>
    </w:p>
    <w:p w14:paraId="668EEA43">
      <w:pPr>
        <w:spacing w:line="360" w:lineRule="auto"/>
        <w:ind w:firstLine="435"/>
        <w:rPr>
          <w:rFonts w:ascii="宋体" w:hAnsi="宋体" w:eastAsia="宋体"/>
          <w:sz w:val="24"/>
          <w:highlight w:val="none"/>
        </w:rPr>
      </w:pPr>
      <w:r>
        <w:rPr>
          <w:rFonts w:hint="eastAsia" w:ascii="宋体" w:hAnsi="宋体" w:eastAsia="宋体"/>
          <w:sz w:val="24"/>
          <w:highlight w:val="none"/>
        </w:rPr>
        <w:t>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1B9F64A">
      <w:pPr>
        <w:spacing w:line="360" w:lineRule="auto"/>
        <w:ind w:firstLine="435"/>
        <w:rPr>
          <w:rFonts w:ascii="宋体" w:hAnsi="宋体" w:eastAsia="宋体"/>
          <w:sz w:val="24"/>
          <w:highlight w:val="none"/>
        </w:rPr>
      </w:pPr>
      <w:r>
        <w:rPr>
          <w:rFonts w:hint="eastAsia" w:ascii="宋体" w:hAnsi="宋体" w:eastAsia="宋体"/>
          <w:sz w:val="24"/>
          <w:highlight w:val="none"/>
        </w:rPr>
        <w:t>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8D7D082">
      <w:pPr>
        <w:spacing w:line="360" w:lineRule="auto"/>
        <w:ind w:firstLine="435"/>
        <w:rPr>
          <w:rFonts w:ascii="宋体" w:hAnsi="宋体" w:eastAsia="宋体"/>
          <w:sz w:val="24"/>
          <w:highlight w:val="none"/>
        </w:rPr>
      </w:pPr>
      <w:r>
        <w:rPr>
          <w:rFonts w:hint="eastAsia" w:ascii="宋体" w:hAnsi="宋体" w:eastAsia="宋体"/>
          <w:sz w:val="24"/>
          <w:highlight w:val="none"/>
        </w:rPr>
        <w:t>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5B930AF">
      <w:pPr>
        <w:spacing w:line="360" w:lineRule="auto"/>
        <w:ind w:firstLine="435"/>
        <w:rPr>
          <w:rFonts w:ascii="宋体" w:hAnsi="宋体" w:eastAsia="宋体"/>
          <w:sz w:val="24"/>
          <w:highlight w:val="none"/>
        </w:rPr>
      </w:pPr>
      <w:r>
        <w:rPr>
          <w:rFonts w:hint="eastAsia" w:ascii="宋体" w:hAnsi="宋体" w:eastAsia="宋体"/>
          <w:sz w:val="24"/>
          <w:highlight w:val="none"/>
        </w:rPr>
        <w:t>6.6如果出现政府采购监督管理部门在处理投诉事项期间，书面通知甲方暂停采购活动的情形，或者询问或质疑事项可能影响成交结果的，导致甲方中止履行合同的情形，均不视为甲方违约。</w:t>
      </w:r>
    </w:p>
    <w:p w14:paraId="69569A1F">
      <w:pP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asciiTheme="minorEastAsia" w:hAnsiTheme="minorEastAsia" w:eastAsiaTheme="minorEastAsia"/>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30DB20F6">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7.合同争议的解决</w:t>
      </w:r>
      <w:bookmarkEnd w:id="78"/>
      <w:bookmarkEnd w:id="79"/>
      <w:bookmarkEnd w:id="80"/>
    </w:p>
    <w:p w14:paraId="4705AFF1">
      <w:pPr>
        <w:snapToGrid w:val="0"/>
        <w:spacing w:line="360" w:lineRule="auto"/>
        <w:ind w:firstLine="720" w:firstLineChars="300"/>
      </w:pPr>
      <w:r>
        <w:rPr>
          <w:rFonts w:hint="eastAsia" w:ascii="宋体" w:hAnsi="宋体" w:cs="宋体"/>
          <w:sz w:val="24"/>
          <w:szCs w:val="24"/>
        </w:rPr>
        <w:t>本合同如发生争议，买卖双方应当及时协商解决，协商不成时，按以下方式处理：向</w:t>
      </w:r>
      <w:r>
        <w:rPr>
          <w:rFonts w:hint="eastAsia" w:ascii="宋体" w:hAnsi="宋体" w:cs="宋体"/>
          <w:sz w:val="24"/>
          <w:szCs w:val="24"/>
          <w:u w:val="single"/>
        </w:rPr>
        <w:t xml:space="preserve">  桐城市 </w:t>
      </w:r>
      <w:r>
        <w:rPr>
          <w:rFonts w:hint="eastAsia" w:ascii="宋体" w:hAnsi="宋体" w:cs="宋体"/>
          <w:sz w:val="24"/>
          <w:szCs w:val="24"/>
        </w:rPr>
        <w:t>人民法院起诉。</w:t>
      </w:r>
    </w:p>
    <w:p w14:paraId="69E60C15">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8.合同生效</w:t>
      </w:r>
    </w:p>
    <w:p w14:paraId="13CE017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本合同自</w:t>
      </w:r>
      <w:r>
        <w:rPr>
          <w:rFonts w:hint="eastAsia" w:ascii="宋体" w:hAnsi="宋体" w:cs="宋体"/>
          <w:sz w:val="24"/>
          <w:szCs w:val="24"/>
          <w:u w:val="single"/>
        </w:rPr>
        <w:t xml:space="preserve"> 签字盖章之日起 </w:t>
      </w:r>
      <w:r>
        <w:rPr>
          <w:rFonts w:hint="eastAsia" w:ascii="宋体" w:hAnsi="宋体" w:cs="宋体"/>
          <w:sz w:val="24"/>
          <w:szCs w:val="24"/>
        </w:rPr>
        <w:t>生效。</w:t>
      </w:r>
    </w:p>
    <w:p w14:paraId="5D398840">
      <w:pPr>
        <w:snapToGrid w:val="0"/>
        <w:spacing w:line="360" w:lineRule="auto"/>
        <w:ind w:firstLine="482" w:firstLineChars="200"/>
        <w:rPr>
          <w:rFonts w:hint="eastAsia" w:ascii="宋体" w:hAnsi="宋体" w:cs="宋体"/>
          <w:b/>
          <w:sz w:val="24"/>
          <w:szCs w:val="24"/>
        </w:rPr>
      </w:pPr>
      <w:r>
        <w:rPr>
          <w:rFonts w:hint="eastAsia" w:ascii="宋体" w:hAnsi="宋体" w:cs="宋体"/>
          <w:b/>
          <w:sz w:val="24"/>
          <w:szCs w:val="24"/>
        </w:rPr>
        <w:t>9.合同份数</w:t>
      </w:r>
    </w:p>
    <w:p w14:paraId="1B42659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本合同一式</w:t>
      </w:r>
      <w:r>
        <w:rPr>
          <w:rFonts w:hint="eastAsia" w:ascii="宋体" w:hAnsi="宋体" w:cs="宋体"/>
          <w:sz w:val="24"/>
          <w:szCs w:val="24"/>
          <w:u w:val="single"/>
        </w:rPr>
        <w:t xml:space="preserve"> 叁 </w:t>
      </w:r>
      <w:r>
        <w:rPr>
          <w:rFonts w:hint="eastAsia" w:ascii="宋体" w:hAnsi="宋体" w:cs="宋体"/>
          <w:sz w:val="24"/>
          <w:szCs w:val="24"/>
        </w:rPr>
        <w:t>份，甲方执</w:t>
      </w:r>
      <w:r>
        <w:rPr>
          <w:rFonts w:hint="eastAsia" w:ascii="宋体" w:hAnsi="宋体" w:cs="宋体"/>
          <w:sz w:val="24"/>
          <w:szCs w:val="24"/>
          <w:u w:val="single"/>
        </w:rPr>
        <w:t xml:space="preserve"> 贰 </w:t>
      </w:r>
      <w:r>
        <w:rPr>
          <w:rFonts w:hint="eastAsia" w:ascii="宋体" w:hAnsi="宋体" w:cs="宋体"/>
          <w:sz w:val="24"/>
          <w:szCs w:val="24"/>
        </w:rPr>
        <w:t>份，乙方执</w:t>
      </w:r>
      <w:r>
        <w:rPr>
          <w:rFonts w:hint="eastAsia" w:ascii="宋体" w:hAnsi="宋体" w:cs="宋体"/>
          <w:sz w:val="24"/>
          <w:szCs w:val="24"/>
          <w:u w:val="single"/>
        </w:rPr>
        <w:t xml:space="preserve"> 壹 </w:t>
      </w:r>
      <w:r>
        <w:rPr>
          <w:rFonts w:hint="eastAsia" w:ascii="宋体" w:hAnsi="宋体" w:cs="宋体"/>
          <w:sz w:val="24"/>
          <w:szCs w:val="24"/>
        </w:rPr>
        <w:t>份，均具有同等法律效力。</w:t>
      </w:r>
    </w:p>
    <w:p w14:paraId="7261670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合同订立时间：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67CDE52">
      <w:pPr>
        <w:snapToGrid w:val="0"/>
        <w:spacing w:line="360" w:lineRule="auto"/>
        <w:ind w:firstLine="480" w:firstLineChars="200"/>
        <w:rPr>
          <w:rFonts w:hint="eastAsia" w:ascii="宋体" w:hAnsi="宋体" w:cs="宋体"/>
          <w:sz w:val="24"/>
          <w:szCs w:val="24"/>
          <w:u w:val="single"/>
        </w:rPr>
      </w:pPr>
      <w:r>
        <w:rPr>
          <w:rFonts w:hint="eastAsia" w:ascii="宋体" w:hAnsi="宋体" w:cs="宋体"/>
          <w:sz w:val="24"/>
          <w:szCs w:val="24"/>
        </w:rPr>
        <w:t>合同订立地点：</w:t>
      </w:r>
      <w:r>
        <w:rPr>
          <w:rFonts w:hint="eastAsia" w:ascii="宋体" w:hAnsi="宋体" w:cs="宋体"/>
          <w:sz w:val="24"/>
          <w:szCs w:val="24"/>
          <w:u w:val="single"/>
        </w:rPr>
        <w:t xml:space="preserve"> 桐城师范高等专科学校 </w:t>
      </w:r>
    </w:p>
    <w:p w14:paraId="727E8C58">
      <w:pPr>
        <w:pStyle w:val="15"/>
      </w:pPr>
    </w:p>
    <w:p w14:paraId="5EF188A8">
      <w:pPr>
        <w:autoSpaceDE w:val="0"/>
        <w:autoSpaceDN w:val="0"/>
        <w:adjustRightInd w:val="0"/>
        <w:spacing w:line="560" w:lineRule="exact"/>
        <w:rPr>
          <w:rFonts w:cs="Times New Roman" w:asciiTheme="minorEastAsia" w:hAnsiTheme="minorEastAsia" w:eastAsiaTheme="minorEastAsia"/>
          <w:bCs/>
          <w:sz w:val="24"/>
          <w:szCs w:val="24"/>
          <w:highlight w:val="none"/>
          <w:lang w:val="zh-CN"/>
        </w:rPr>
      </w:pPr>
      <w:r>
        <w:rPr>
          <w:rFonts w:hint="eastAsia" w:cs="Times New Roman" w:asciiTheme="minorEastAsia" w:hAnsiTheme="minorEastAsia" w:eastAsiaTheme="minorEastAsia"/>
          <w:bCs/>
          <w:sz w:val="24"/>
          <w:szCs w:val="24"/>
          <w:highlight w:val="none"/>
          <w:lang w:val="zh-CN"/>
        </w:rPr>
        <w:t xml:space="preserve">甲 </w:t>
      </w:r>
      <w:r>
        <w:rPr>
          <w:rFonts w:cs="Times New Roman" w:asciiTheme="minorEastAsia" w:hAnsiTheme="minorEastAsia" w:eastAsiaTheme="minorEastAsia"/>
          <w:bCs/>
          <w:sz w:val="24"/>
          <w:szCs w:val="24"/>
          <w:highlight w:val="none"/>
          <w:lang w:val="zh-CN"/>
        </w:rPr>
        <w:t xml:space="preserve">   </w:t>
      </w:r>
      <w:r>
        <w:rPr>
          <w:rFonts w:hint="eastAsia" w:cs="Times New Roman" w:asciiTheme="minorEastAsia" w:hAnsiTheme="minorEastAsia" w:eastAsiaTheme="minorEastAsia"/>
          <w:bCs/>
          <w:sz w:val="24"/>
          <w:szCs w:val="24"/>
          <w:highlight w:val="none"/>
          <w:lang w:val="zh-CN"/>
        </w:rPr>
        <w:t>方：</w:t>
      </w:r>
      <w:r>
        <w:rPr>
          <w:rFonts w:hint="eastAsia" w:cs="Times New Roman" w:asciiTheme="minorEastAsia" w:hAnsiTheme="minorEastAsia" w:eastAsiaTheme="minorEastAsia"/>
          <w:bCs/>
          <w:sz w:val="24"/>
          <w:szCs w:val="24"/>
          <w:highlight w:val="none"/>
          <w:u w:val="single"/>
          <w:lang w:val="zh-CN"/>
        </w:rPr>
        <w:t xml:space="preserve">    （单位盖章）     </w:t>
      </w:r>
      <w:r>
        <w:rPr>
          <w:rFonts w:hint="eastAsia" w:cs="Times New Roman" w:asciiTheme="minorEastAsia" w:hAnsiTheme="minorEastAsia" w:eastAsiaTheme="minorEastAsia"/>
          <w:bCs/>
          <w:sz w:val="24"/>
          <w:szCs w:val="24"/>
          <w:highlight w:val="none"/>
          <w:lang w:val="zh-CN"/>
        </w:rPr>
        <w:t xml:space="preserve">          乙方：</w:t>
      </w:r>
      <w:r>
        <w:rPr>
          <w:rFonts w:hint="eastAsia" w:cs="Times New Roman" w:asciiTheme="minorEastAsia" w:hAnsiTheme="minorEastAsia" w:eastAsiaTheme="minorEastAsia"/>
          <w:bCs/>
          <w:sz w:val="24"/>
          <w:szCs w:val="24"/>
          <w:highlight w:val="none"/>
          <w:u w:val="single"/>
          <w:lang w:val="zh-CN"/>
        </w:rPr>
        <w:t xml:space="preserve">    （单位盖章）     </w:t>
      </w:r>
    </w:p>
    <w:p w14:paraId="08C3CFD4">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法定代表人</w:t>
      </w:r>
    </w:p>
    <w:p w14:paraId="19559207">
      <w:pP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或授权代表（签字）：                      或授权代表（签字）：</w:t>
      </w:r>
    </w:p>
    <w:p w14:paraId="7CB3795D">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               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6BF04849">
      <w:pPr>
        <w:widowControl/>
        <w:spacing w:line="560" w:lineRule="exact"/>
        <w:jc w:val="left"/>
        <w:rPr>
          <w:rFonts w:hint="eastAsia" w:cs="Times New Roman" w:asciiTheme="minorEastAsia" w:hAnsiTheme="minorEastAsia" w:eastAsiaTheme="minorEastAsia"/>
          <w:bCs/>
          <w:sz w:val="24"/>
          <w:szCs w:val="24"/>
          <w:highlight w:val="non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乙方账户信息</w:t>
      </w:r>
    </w:p>
    <w:p w14:paraId="6D7F7D11">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户名：</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0D6C75C3">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账号：</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53DF2DB9">
      <w:pPr>
        <w:widowControl/>
        <w:spacing w:line="560" w:lineRule="exact"/>
        <w:jc w:val="left"/>
        <w:rPr>
          <w:rFonts w:hint="eastAsia"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 xml:space="preserve">                          </w:t>
      </w:r>
      <w:r>
        <w:rPr>
          <w:rFonts w:hint="eastAsia" w:cs="Times New Roman" w:asciiTheme="minorEastAsia" w:hAnsiTheme="minorEastAsia" w:eastAsiaTheme="minorEastAsia"/>
          <w:bCs/>
          <w:sz w:val="24"/>
          <w:szCs w:val="24"/>
          <w:highlight w:val="none"/>
          <w:lang w:val="en-US" w:eastAsia="zh-CN"/>
        </w:rPr>
        <w:t xml:space="preserve">              </w:t>
      </w:r>
      <w:r>
        <w:rPr>
          <w:rFonts w:hint="eastAsia" w:cs="Times New Roman" w:asciiTheme="minorEastAsia" w:hAnsiTheme="minorEastAsia" w:eastAsiaTheme="minorEastAsia"/>
          <w:bCs/>
          <w:sz w:val="24"/>
          <w:szCs w:val="24"/>
          <w:highlight w:val="none"/>
        </w:rPr>
        <w:t xml:space="preserve"> 开户银行：</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lang w:val="en-US" w:eastAsia="zh-CN"/>
        </w:rPr>
        <w:t xml:space="preserve">        </w:t>
      </w:r>
      <w:r>
        <w:rPr>
          <w:rFonts w:hint="eastAsia" w:cs="Times New Roman" w:asciiTheme="minorEastAsia" w:hAnsiTheme="minorEastAsia" w:eastAsiaTheme="minorEastAsia"/>
          <w:bCs/>
          <w:sz w:val="24"/>
          <w:szCs w:val="24"/>
          <w:highlight w:val="none"/>
          <w:u w:val="single"/>
        </w:rPr>
        <w:t xml:space="preserve">     </w:t>
      </w:r>
    </w:p>
    <w:p w14:paraId="7EF9B88A">
      <w:pPr>
        <w:widowControl/>
        <w:spacing w:line="560" w:lineRule="exact"/>
        <w:jc w:val="left"/>
        <w:rPr>
          <w:rFonts w:hint="eastAsia"/>
          <w:lang w:val="zh-CN"/>
        </w:rPr>
      </w:pPr>
      <w:r>
        <w:rPr>
          <w:rFonts w:hint="eastAsia" w:ascii="宋体" w:hAnsi="宋体" w:eastAsia="宋体" w:cs="宋体"/>
          <w:sz w:val="24"/>
          <w:szCs w:val="24"/>
          <w:highlight w:val="none"/>
          <w:u w:val="single"/>
        </w:rPr>
        <w:br w:type="page"/>
      </w:r>
    </w:p>
    <w:bookmarkEnd w:id="49"/>
    <w:bookmarkEnd w:id="50"/>
    <w:bookmarkEnd w:id="51"/>
    <w:bookmarkEnd w:id="52"/>
    <w:p w14:paraId="3BD274A0">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81" w:name="_Toc417656001"/>
      <w:r>
        <w:rPr>
          <w:rFonts w:hint="eastAsia" w:ascii="Arial" w:hAnsi="Arial"/>
          <w:color w:val="auto"/>
          <w:kern w:val="2"/>
          <w:sz w:val="36"/>
          <w:szCs w:val="36"/>
          <w:highlight w:val="none"/>
        </w:rPr>
        <w:t>响应文件格式</w:t>
      </w:r>
      <w:bookmarkEnd w:id="81"/>
    </w:p>
    <w:p w14:paraId="6F61B9AA">
      <w:pPr>
        <w:spacing w:line="360" w:lineRule="auto"/>
        <w:jc w:val="center"/>
        <w:rPr>
          <w:rFonts w:ascii="仿宋" w:hAnsi="仿宋" w:eastAsia="仿宋"/>
          <w:b/>
          <w:color w:val="auto"/>
          <w:spacing w:val="20"/>
          <w:sz w:val="36"/>
          <w:szCs w:val="36"/>
          <w:highlight w:val="none"/>
          <w:u w:val="single"/>
        </w:rPr>
      </w:pPr>
    </w:p>
    <w:p w14:paraId="77CB8270">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41851454">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5570D467">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693F3B23">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10B9FA7C">
      <w:pPr>
        <w:pStyle w:val="50"/>
        <w:ind w:left="0" w:leftChars="0" w:firstLine="0" w:firstLineChars="0"/>
        <w:rPr>
          <w:rFonts w:ascii="宋体"/>
          <w:color w:val="auto"/>
          <w:sz w:val="24"/>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51AC5DAF">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81D6926">
      <w:pPr>
        <w:spacing w:line="360" w:lineRule="auto"/>
        <w:ind w:firstLine="602" w:firstLineChars="200"/>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p>
    <w:p w14:paraId="5925B018">
      <w:pPr>
        <w:spacing w:line="360" w:lineRule="auto"/>
        <w:rPr>
          <w:rFonts w:ascii="仿宋_GB2312" w:eastAsia="仿宋_GB2312"/>
          <w:color w:val="auto"/>
          <w:sz w:val="30"/>
          <w:szCs w:val="30"/>
          <w:highlight w:val="none"/>
        </w:rPr>
      </w:pPr>
    </w:p>
    <w:p w14:paraId="2356CC2F">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1C2C49">
      <w:pPr>
        <w:spacing w:line="480" w:lineRule="exact"/>
        <w:jc w:val="center"/>
        <w:rPr>
          <w:rFonts w:ascii="宋体" w:hAnsi="宋体"/>
          <w:b/>
          <w:color w:val="auto"/>
          <w:sz w:val="30"/>
          <w:szCs w:val="30"/>
          <w:highlight w:val="none"/>
        </w:rPr>
      </w:pPr>
    </w:p>
    <w:p w14:paraId="54D5A13D">
      <w:pPr>
        <w:spacing w:line="480" w:lineRule="exact"/>
        <w:rPr>
          <w:rFonts w:ascii="黑体" w:eastAsia="黑体"/>
          <w:b/>
          <w:bCs/>
          <w:color w:val="auto"/>
          <w:szCs w:val="21"/>
          <w:highlight w:val="none"/>
        </w:rPr>
      </w:pPr>
    </w:p>
    <w:p w14:paraId="01FCE25C">
      <w:pPr>
        <w:pStyle w:val="48"/>
      </w:pPr>
    </w:p>
    <w:p w14:paraId="28878E0F">
      <w:pPr>
        <w:rPr>
          <w:color w:val="auto"/>
          <w:highlight w:val="none"/>
        </w:rPr>
      </w:pPr>
    </w:p>
    <w:p w14:paraId="4DB001B2">
      <w:pPr>
        <w:jc w:val="center"/>
        <w:rPr>
          <w:rFonts w:hint="eastAsia" w:ascii="宋体" w:hAnsi="宋体" w:cs="宋体"/>
          <w:b/>
          <w:color w:val="auto"/>
          <w:sz w:val="32"/>
          <w:szCs w:val="32"/>
          <w:highlight w:val="none"/>
        </w:rPr>
      </w:pPr>
    </w:p>
    <w:p w14:paraId="19B9598F">
      <w:pPr>
        <w:spacing w:line="360" w:lineRule="auto"/>
        <w:jc w:val="center"/>
        <w:outlineLvl w:val="1"/>
        <w:rPr>
          <w:rFonts w:asciiTheme="minorEastAsia" w:hAnsiTheme="minorEastAsia" w:eastAsiaTheme="minorEastAsia"/>
          <w:b/>
          <w:color w:val="auto"/>
          <w:sz w:val="24"/>
          <w:highlight w:val="none"/>
        </w:rPr>
      </w:pPr>
      <w:bookmarkStart w:id="82" w:name="_Toc461053086"/>
      <w:bookmarkStart w:id="83" w:name="_Toc461056631"/>
      <w:bookmarkStart w:id="84" w:name="_Toc26791"/>
      <w:bookmarkStart w:id="85" w:name="_Toc520983587"/>
      <w:bookmarkStart w:id="86" w:name="_Toc5881"/>
      <w:r>
        <w:rPr>
          <w:rFonts w:hint="eastAsia" w:asciiTheme="minorEastAsia" w:hAnsiTheme="minorEastAsia" w:eastAsiaTheme="minorEastAsia"/>
          <w:b/>
          <w:color w:val="auto"/>
          <w:sz w:val="24"/>
          <w:highlight w:val="none"/>
        </w:rPr>
        <w:t>一</w:t>
      </w:r>
      <w:bookmarkEnd w:id="82"/>
      <w:bookmarkEnd w:id="83"/>
      <w:r>
        <w:rPr>
          <w:rFonts w:hint="eastAsia" w:asciiTheme="minorEastAsia" w:hAnsiTheme="minorEastAsia" w:eastAsiaTheme="minorEastAsia"/>
          <w:b/>
          <w:color w:val="auto"/>
          <w:sz w:val="24"/>
          <w:highlight w:val="none"/>
        </w:rPr>
        <w:t>、报价表格式</w:t>
      </w:r>
      <w:bookmarkEnd w:id="84"/>
      <w:bookmarkEnd w:id="85"/>
      <w:bookmarkEnd w:id="86"/>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68E9A70">
      <w:pPr>
        <w:wordWrap w:val="0"/>
        <w:spacing w:beforeAutospacing="0" w:line="360" w:lineRule="auto"/>
        <w:jc w:val="right"/>
        <w:rPr>
          <w:rFonts w:hint="eastAsia" w:ascii="宋体" w:hAnsi="宋体" w:eastAsia="宋体"/>
          <w:b/>
          <w:color w:val="auto"/>
          <w:sz w:val="24"/>
          <w:szCs w:val="28"/>
          <w:highlight w:val="none"/>
          <w:u w:val="single"/>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b/>
                <w:color w:val="auto"/>
                <w:sz w:val="24"/>
                <w:highlight w:val="none"/>
                <w:lang w:eastAsia="zh-CN"/>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136B28F6">
      <w:pPr>
        <w:spacing w:line="360" w:lineRule="auto"/>
        <w:ind w:firstLine="4800" w:firstLineChars="2000"/>
        <w:rPr>
          <w:rFonts w:hint="eastAsia" w:ascii="宋体" w:hAnsi="宋体" w:eastAsia="宋体"/>
          <w:color w:val="auto"/>
          <w:sz w:val="24"/>
          <w:highlight w:val="none"/>
        </w:rPr>
      </w:pPr>
    </w:p>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w:t>
      </w:r>
      <w:r>
        <w:rPr>
          <w:rFonts w:hint="eastAsia" w:ascii="宋体" w:hAnsi="宋体"/>
          <w:b/>
          <w:bCs/>
          <w:color w:val="auto"/>
          <w:sz w:val="24"/>
          <w:szCs w:val="28"/>
          <w:highlight w:val="none"/>
          <w:lang w:eastAsia="zh-CN"/>
        </w:rPr>
        <w:t>谈判</w:t>
      </w:r>
      <w:r>
        <w:rPr>
          <w:rFonts w:hint="eastAsia" w:ascii="宋体" w:hAnsi="宋体" w:eastAsia="宋体"/>
          <w:b/>
          <w:bCs/>
          <w:color w:val="auto"/>
          <w:sz w:val="24"/>
          <w:szCs w:val="28"/>
          <w:highlight w:val="none"/>
        </w:rPr>
        <w:t>文件要求包括了服务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3F0F1E8D">
      <w:pPr>
        <w:pStyle w:val="50"/>
        <w:ind w:left="0" w:leftChars="0" w:firstLine="0" w:firstLineChars="0"/>
        <w:rPr>
          <w:rFonts w:hint="default" w:ascii="宋体" w:hAnsi="宋体" w:eastAsia="宋体"/>
          <w:b/>
          <w:bCs/>
          <w:color w:val="auto"/>
          <w:sz w:val="24"/>
          <w:szCs w:val="28"/>
          <w:highlight w:val="none"/>
          <w:lang w:val="en-US" w:eastAsia="zh-CN"/>
        </w:rPr>
      </w:pPr>
    </w:p>
    <w:p w14:paraId="37794F29">
      <w:pPr>
        <w:rPr>
          <w:rFonts w:hint="eastAsia" w:hAnsi="宋体" w:cs="宋体"/>
          <w:color w:val="auto"/>
          <w:sz w:val="28"/>
          <w:szCs w:val="28"/>
          <w:highlight w:val="none"/>
          <w:lang w:val="en-US" w:eastAsia="zh-CN"/>
        </w:rPr>
      </w:pPr>
    </w:p>
    <w:p w14:paraId="68A4208E">
      <w:pPr>
        <w:spacing w:line="360" w:lineRule="auto"/>
        <w:jc w:val="center"/>
        <w:outlineLvl w:val="1"/>
        <w:rPr>
          <w:rFonts w:asciiTheme="minorEastAsia" w:hAnsiTheme="minorEastAsia" w:eastAsiaTheme="minorEastAsia"/>
          <w:b/>
          <w:color w:val="auto"/>
          <w:sz w:val="24"/>
          <w:highlight w:val="none"/>
        </w:rPr>
      </w:pPr>
      <w:bookmarkStart w:id="87" w:name="_Toc461056632"/>
      <w:bookmarkStart w:id="88" w:name="_Toc461053087"/>
      <w:bookmarkStart w:id="89" w:name="_Toc32436"/>
      <w:bookmarkStart w:id="90" w:name="_Toc520983588"/>
      <w:bookmarkStart w:id="91" w:name="_Toc28695"/>
      <w:r>
        <w:rPr>
          <w:rFonts w:hint="eastAsia" w:asciiTheme="minorEastAsia" w:hAnsiTheme="minorEastAsia" w:eastAsiaTheme="minorEastAsia"/>
          <w:b/>
          <w:color w:val="auto"/>
          <w:sz w:val="24"/>
          <w:highlight w:val="none"/>
        </w:rPr>
        <w:t>二</w:t>
      </w:r>
      <w:bookmarkEnd w:id="87"/>
      <w:bookmarkEnd w:id="88"/>
      <w:r>
        <w:rPr>
          <w:rFonts w:hint="eastAsia" w:asciiTheme="minorEastAsia" w:hAnsiTheme="minorEastAsia" w:eastAsiaTheme="minorEastAsia"/>
          <w:b/>
          <w:color w:val="auto"/>
          <w:sz w:val="24"/>
          <w:highlight w:val="none"/>
        </w:rPr>
        <w:t>、最后承诺报价表</w:t>
      </w:r>
      <w:bookmarkEnd w:id="89"/>
      <w:bookmarkEnd w:id="90"/>
      <w:bookmarkEnd w:id="91"/>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hint="eastAsia" w:ascii="宋体" w:hAnsi="宋体" w:eastAsia="宋体"/>
          <w:b/>
          <w:color w:val="auto"/>
          <w:sz w:val="24"/>
          <w:szCs w:val="28"/>
          <w:highlight w:val="none"/>
          <w:u w:val="single"/>
          <w:lang w:val="en-US" w:eastAsia="zh-CN"/>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0CEBAE81">
      <w:pPr>
        <w:wordWrap w:val="0"/>
        <w:spacing w:beforeAutospacing="0" w:line="360" w:lineRule="auto"/>
        <w:jc w:val="right"/>
        <w:rPr>
          <w:rFonts w:hint="eastAsia" w:ascii="宋体" w:hAnsi="宋体" w:eastAsia="宋体"/>
          <w:b/>
          <w:color w:val="auto"/>
          <w:sz w:val="24"/>
          <w:szCs w:val="28"/>
          <w:highlight w:val="none"/>
          <w:u w:val="single"/>
          <w:lang w:val="en-US" w:eastAsia="zh-CN"/>
        </w:rPr>
      </w:pPr>
      <w:r>
        <w:rPr>
          <w:rFonts w:hint="eastAsia" w:ascii="宋体" w:hAnsi="宋体"/>
          <w:b/>
          <w:bCs/>
          <w:color w:val="auto"/>
          <w:sz w:val="24"/>
          <w:szCs w:val="22"/>
          <w:highlight w:val="none"/>
        </w:rPr>
        <w:t>单位：</w:t>
      </w:r>
      <w:r>
        <w:rPr>
          <w:rFonts w:hint="eastAsia" w:ascii="宋体" w:hAnsi="宋体"/>
          <w:b/>
          <w:bCs/>
          <w:color w:val="auto"/>
          <w:sz w:val="24"/>
          <w:szCs w:val="22"/>
          <w:highlight w:val="none"/>
          <w:u w:val="single"/>
          <w:lang w:val="en-US" w:eastAsia="zh-CN"/>
        </w:rPr>
        <w:t xml:space="preserve"> 元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7"/>
        <w:gridCol w:w="6648"/>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6"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b/>
                <w:bCs/>
                <w:color w:val="auto"/>
                <w:sz w:val="24"/>
                <w:szCs w:val="28"/>
                <w:highlight w:val="none"/>
                <w:lang w:eastAsia="zh-CN"/>
              </w:rPr>
              <w:t>谈判</w:t>
            </w:r>
            <w:r>
              <w:rPr>
                <w:rFonts w:hint="eastAsia" w:ascii="宋体" w:hAnsi="宋体" w:eastAsia="宋体"/>
                <w:b/>
                <w:color w:val="auto"/>
                <w:sz w:val="24"/>
                <w:highlight w:val="none"/>
              </w:rPr>
              <w:t>范围</w:t>
            </w:r>
          </w:p>
        </w:tc>
        <w:tc>
          <w:tcPr>
            <w:tcW w:w="3556"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6" w:type="pct"/>
            <w:vAlign w:val="center"/>
          </w:tcPr>
          <w:p w14:paraId="6A57BBC0">
            <w:pPr>
              <w:snapToGrid w:val="0"/>
              <w:spacing w:line="360" w:lineRule="auto"/>
              <w:rPr>
                <w:rFonts w:ascii="宋体" w:hAnsi="宋体" w:eastAsia="宋体"/>
                <w:color w:val="auto"/>
                <w:sz w:val="24"/>
                <w:szCs w:val="28"/>
                <w:highlight w:val="none"/>
              </w:rPr>
            </w:pPr>
          </w:p>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ascii="宋体" w:hAnsi="宋体" w:eastAsia="宋体"/>
                <w:b/>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6" w:type="pct"/>
          </w:tcPr>
          <w:p w14:paraId="54E98CD2">
            <w:pPr>
              <w:spacing w:line="360" w:lineRule="auto"/>
              <w:rPr>
                <w:rFonts w:ascii="宋体" w:hAnsi="宋体" w:eastAsia="宋体"/>
                <w:b/>
                <w:color w:val="auto"/>
                <w:sz w:val="24"/>
                <w:highlight w:val="none"/>
              </w:rPr>
            </w:pPr>
          </w:p>
        </w:tc>
      </w:tr>
    </w:tbl>
    <w:p w14:paraId="6B17390E">
      <w:pPr>
        <w:spacing w:line="360" w:lineRule="auto"/>
        <w:ind w:firstLine="3600" w:firstLineChars="1500"/>
        <w:jc w:val="left"/>
        <w:rPr>
          <w:rFonts w:hint="eastAsia" w:ascii="宋体" w:hAnsi="宋体" w:eastAsia="宋体"/>
          <w:color w:val="auto"/>
          <w:sz w:val="24"/>
          <w:highlight w:val="none"/>
        </w:rPr>
      </w:pPr>
    </w:p>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w:t>
      </w:r>
      <w:r>
        <w:rPr>
          <w:rFonts w:hint="eastAsia" w:ascii="宋体" w:hAnsi="宋体"/>
          <w:b/>
          <w:bCs/>
          <w:color w:val="auto"/>
          <w:sz w:val="24"/>
          <w:highlight w:val="none"/>
          <w:lang w:eastAsia="zh-CN"/>
        </w:rPr>
        <w:t>谈判</w:t>
      </w:r>
      <w:r>
        <w:rPr>
          <w:rFonts w:hint="eastAsia" w:ascii="宋体" w:hAnsi="宋体" w:eastAsia="宋体"/>
          <w:b/>
          <w:bCs/>
          <w:color w:val="auto"/>
          <w:sz w:val="24"/>
          <w:highlight w:val="none"/>
        </w:rPr>
        <w:t>情况填写,并在规定时间内提交。</w:t>
      </w:r>
      <w:r>
        <w:rPr>
          <w:rFonts w:hint="eastAsia" w:ascii="宋体" w:hAnsi="宋体" w:eastAsia="宋体"/>
          <w:color w:val="auto"/>
          <w:sz w:val="24"/>
          <w:highlight w:val="none"/>
        </w:rPr>
        <w:t>考虑</w:t>
      </w:r>
      <w:r>
        <w:rPr>
          <w:rFonts w:hint="eastAsia" w:ascii="宋体" w:hAnsi="宋体"/>
          <w:color w:val="auto"/>
          <w:sz w:val="24"/>
          <w:highlight w:val="none"/>
          <w:lang w:eastAsia="zh-CN"/>
        </w:rPr>
        <w:t>谈判</w:t>
      </w:r>
      <w:r>
        <w:rPr>
          <w:rFonts w:hint="eastAsia" w:ascii="宋体" w:hAnsi="宋体" w:eastAsia="宋体"/>
          <w:color w:val="auto"/>
          <w:sz w:val="24"/>
          <w:highlight w:val="none"/>
        </w:rPr>
        <w:t>报价的方便，供应商在填写最后承诺报价后，（第一次报价-最后承诺报价）除以第一次报价后得出的优惠率视同为需求表中全部分项设备、工程量或服务的优惠浮动值（特定分项优惠除外），而不考虑措施项目清单和规费税金清单的金额改变。</w:t>
      </w:r>
      <w:r>
        <w:rPr>
          <w:rFonts w:hint="eastAsia" w:ascii="宋体" w:hAnsi="宋体" w:eastAsia="宋体"/>
          <w:bCs/>
          <w:color w:val="auto"/>
          <w:sz w:val="24"/>
          <w:highlight w:val="none"/>
        </w:rPr>
        <w:t>此优惠率调整原则适用于合同内价格的计算及项目增减、变更时价格的计算。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与小写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不一致的，以大写</w:t>
      </w:r>
      <w:r>
        <w:rPr>
          <w:rFonts w:hint="eastAsia" w:ascii="宋体" w:hAnsi="宋体"/>
          <w:b/>
          <w:bCs/>
          <w:color w:val="auto"/>
          <w:sz w:val="24"/>
          <w:szCs w:val="28"/>
          <w:highlight w:val="none"/>
          <w:lang w:val="en-US" w:eastAsia="zh-CN"/>
        </w:rPr>
        <w:t>金额</w:t>
      </w:r>
      <w:r>
        <w:rPr>
          <w:rFonts w:hint="eastAsia" w:ascii="宋体" w:hAnsi="宋体" w:eastAsia="宋体"/>
          <w:b/>
          <w:bCs/>
          <w:color w:val="auto"/>
          <w:sz w:val="24"/>
          <w:szCs w:val="28"/>
          <w:highlight w:val="none"/>
        </w:rPr>
        <w:t>为准。</w:t>
      </w:r>
    </w:p>
    <w:p w14:paraId="54F6424B">
      <w:pPr>
        <w:spacing w:line="360" w:lineRule="auto"/>
        <w:ind w:firstLine="482" w:firstLineChars="200"/>
        <w:rPr>
          <w:rFonts w:hint="eastAsia" w:asciiTheme="minorEastAsia" w:hAnsiTheme="minorEastAsia" w:eastAsiaTheme="minorEastAsia"/>
          <w:b/>
          <w:color w:val="auto"/>
          <w:sz w:val="24"/>
          <w:highlight w:val="none"/>
        </w:rPr>
      </w:pPr>
      <w:r>
        <w:rPr>
          <w:rFonts w:hint="eastAsia" w:ascii="宋体" w:hAnsi="宋体" w:eastAsia="宋体"/>
          <w:b/>
          <w:bCs/>
          <w:color w:val="auto"/>
          <w:sz w:val="24"/>
          <w:szCs w:val="28"/>
          <w:highlight w:val="none"/>
          <w:lang w:val="en-US" w:eastAsia="zh-CN"/>
        </w:rPr>
        <w:t>3.</w:t>
      </w:r>
      <w:r>
        <w:rPr>
          <w:rFonts w:hint="eastAsia" w:ascii="宋体" w:hAnsi="宋体"/>
          <w:b/>
          <w:sz w:val="24"/>
        </w:rPr>
        <w:t>此表请各供应商多准备几份，并加盖供应商公章，以便在</w:t>
      </w:r>
      <w:r>
        <w:rPr>
          <w:rFonts w:hint="eastAsia" w:ascii="宋体" w:hAnsi="宋体"/>
          <w:b/>
          <w:sz w:val="24"/>
          <w:lang w:val="en-US" w:eastAsia="zh-CN"/>
        </w:rPr>
        <w:t>谈判</w:t>
      </w:r>
      <w:r>
        <w:rPr>
          <w:rFonts w:hint="eastAsia" w:ascii="宋体" w:hAnsi="宋体"/>
          <w:b/>
          <w:sz w:val="24"/>
        </w:rPr>
        <w:t>时报价使用。（此表由供应商</w:t>
      </w:r>
      <w:r>
        <w:rPr>
          <w:rFonts w:hint="eastAsia" w:ascii="宋体" w:hAnsi="宋体"/>
          <w:b/>
          <w:sz w:val="24"/>
          <w:lang w:val="en-US" w:eastAsia="zh-CN"/>
        </w:rPr>
        <w:t>谈判</w:t>
      </w:r>
      <w:r>
        <w:rPr>
          <w:rFonts w:hint="eastAsia" w:ascii="宋体" w:hAnsi="宋体"/>
          <w:b/>
          <w:sz w:val="24"/>
        </w:rPr>
        <w:t>现场递交）</w:t>
      </w:r>
    </w:p>
    <w:p w14:paraId="50B72D77">
      <w:pPr>
        <w:pStyle w:val="15"/>
        <w:ind w:firstLine="420" w:firstLineChars="200"/>
        <w:rPr>
          <w:rFonts w:hint="default" w:eastAsia="宋体"/>
          <w:lang w:val="en-US" w:eastAsia="zh-CN"/>
        </w:rPr>
      </w:pPr>
    </w:p>
    <w:p w14:paraId="74523BB0">
      <w:pPr>
        <w:widowControl/>
        <w:jc w:val="left"/>
        <w:rPr>
          <w:rFonts w:ascii="宋体" w:hAnsi="宋体" w:eastAsia="宋体"/>
          <w:bCs/>
          <w:color w:val="auto"/>
          <w:sz w:val="24"/>
          <w:highlight w:val="none"/>
        </w:rPr>
      </w:pPr>
    </w:p>
    <w:p w14:paraId="3054CEF9">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w:t>
      </w:r>
      <w:r>
        <w:rPr>
          <w:rFonts w:hint="eastAsia" w:asciiTheme="minorEastAsia" w:hAnsiTheme="minorEastAsia" w:eastAsiaTheme="minorEastAsia"/>
          <w:b/>
          <w:color w:val="auto"/>
          <w:sz w:val="24"/>
          <w:highlight w:val="none"/>
          <w:lang w:eastAsia="zh-CN"/>
        </w:rPr>
        <w:t>谈判</w:t>
      </w:r>
      <w:r>
        <w:rPr>
          <w:rFonts w:hint="eastAsia" w:asciiTheme="minorEastAsia" w:hAnsiTheme="minorEastAsia" w:eastAsiaTheme="minorEastAsia"/>
          <w:b/>
          <w:color w:val="auto"/>
          <w:sz w:val="24"/>
          <w:highlight w:val="none"/>
        </w:rPr>
        <w:t>响应函</w:t>
      </w:r>
    </w:p>
    <w:p w14:paraId="68C95EF6">
      <w:pPr>
        <w:pStyle w:val="22"/>
        <w:spacing w:line="360" w:lineRule="auto"/>
        <w:ind w:left="0" w:leftChars="0" w:firstLine="0" w:firstLineChars="0"/>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4E92D59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92" w:name="_Hlk44287543"/>
      <w:r>
        <w:rPr>
          <w:rFonts w:hint="eastAsia" w:ascii="宋体" w:hAnsi="宋体" w:eastAsia="宋体"/>
          <w:color w:val="auto"/>
          <w:sz w:val="24"/>
          <w:highlight w:val="none"/>
        </w:rPr>
        <w:t>竞争性</w:t>
      </w:r>
      <w:r>
        <w:rPr>
          <w:rFonts w:hint="eastAsia" w:ascii="宋体" w:hAnsi="宋体"/>
          <w:color w:val="auto"/>
          <w:sz w:val="24"/>
          <w:highlight w:val="none"/>
          <w:lang w:eastAsia="zh-CN"/>
        </w:rPr>
        <w:t>谈判</w:t>
      </w:r>
      <w:r>
        <w:rPr>
          <w:rFonts w:hint="eastAsia" w:ascii="宋体" w:hAnsi="宋体" w:eastAsia="宋体"/>
          <w:color w:val="auto"/>
          <w:sz w:val="24"/>
          <w:highlight w:val="none"/>
        </w:rPr>
        <w:t>公告和</w:t>
      </w:r>
      <w:r>
        <w:rPr>
          <w:rFonts w:hint="eastAsia" w:ascii="宋体" w:hAnsi="宋体"/>
          <w:color w:val="auto"/>
          <w:sz w:val="24"/>
          <w:highlight w:val="none"/>
          <w:lang w:eastAsia="zh-CN"/>
        </w:rPr>
        <w:t>谈判</w:t>
      </w:r>
      <w:r>
        <w:rPr>
          <w:rFonts w:hint="eastAsia" w:ascii="宋体" w:hAnsi="宋体" w:eastAsia="宋体"/>
          <w:color w:val="auto"/>
          <w:sz w:val="24"/>
          <w:highlight w:val="none"/>
        </w:rPr>
        <w:t>邀请</w:t>
      </w:r>
      <w:bookmarkEnd w:id="92"/>
      <w:r>
        <w:rPr>
          <w:rFonts w:hint="eastAsia" w:ascii="宋体" w:hAnsi="宋体" w:eastAsia="宋体"/>
          <w:color w:val="auto"/>
          <w:sz w:val="24"/>
          <w:highlight w:val="none"/>
        </w:rPr>
        <w:t>，我方兹宣布同意如下：</w:t>
      </w:r>
    </w:p>
    <w:p w14:paraId="022013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cs="宋体"/>
          <w:color w:val="auto"/>
          <w:sz w:val="24"/>
          <w:szCs w:val="24"/>
          <w:highlight w:val="none"/>
          <w:lang w:val="en-US" w:eastAsia="zh-CN"/>
        </w:rPr>
        <w:t>谈判</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2A3237E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文件各项条款、规定及要求均无异议。</w:t>
      </w:r>
    </w:p>
    <w:p w14:paraId="5DC09F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有效期之前均具有约束力。</w:t>
      </w:r>
    </w:p>
    <w:p w14:paraId="35B396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rPr>
        <w:t>有关的任何证据、数据或资料。</w:t>
      </w:r>
    </w:p>
    <w:p w14:paraId="4E149418">
      <w:pPr>
        <w:spacing w:line="360" w:lineRule="auto"/>
        <w:ind w:firstLine="480" w:firstLineChars="200"/>
        <w:rPr>
          <w:rFonts w:ascii="宋体" w:hAnsi="宋体" w:eastAsia="宋体"/>
          <w:color w:val="auto"/>
          <w:sz w:val="24"/>
          <w:highlight w:val="none"/>
        </w:rPr>
      </w:pPr>
    </w:p>
    <w:p w14:paraId="2D825693">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供应商签章：</w:t>
      </w:r>
      <w:r>
        <w:rPr>
          <w:rFonts w:hint="eastAsia" w:ascii="宋体" w:hAnsi="宋体" w:eastAsia="宋体"/>
          <w:color w:val="auto"/>
          <w:sz w:val="24"/>
          <w:highlight w:val="none"/>
          <w:u w:val="single"/>
        </w:rPr>
        <w:t xml:space="preserve">             </w:t>
      </w:r>
    </w:p>
    <w:p w14:paraId="5907E76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F161037">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6A2575B6">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3" w:name="_Toc21328"/>
      <w:r>
        <w:rPr>
          <w:rFonts w:hint="eastAsia" w:asciiTheme="minorEastAsia" w:hAnsiTheme="minorEastAsia" w:eastAsiaTheme="minorEastAsia"/>
          <w:b/>
          <w:color w:val="auto"/>
          <w:sz w:val="24"/>
          <w:highlight w:val="none"/>
          <w:lang w:val="en-US" w:eastAsia="zh-CN"/>
        </w:rPr>
        <w:t>四、供应商资格声明书</w:t>
      </w:r>
      <w:bookmarkEnd w:id="93"/>
    </w:p>
    <w:p w14:paraId="13BAB4CC">
      <w:pPr>
        <w:pStyle w:val="22"/>
        <w:spacing w:line="360" w:lineRule="auto"/>
        <w:ind w:left="0" w:leftChars="0" w:firstLine="0" w:firstLineChars="0"/>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7C25B01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在参与本次项目谈判中，我单位承诺：</w:t>
      </w:r>
    </w:p>
    <w:p w14:paraId="5DAF014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5840FC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471C57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2480DB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BCDF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178895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4D5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6E28A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4501" w:type="dxa"/>
          </w:tcPr>
          <w:p w14:paraId="7FE6744A">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681" w:type="dxa"/>
          </w:tcPr>
          <w:p w14:paraId="08B6616C">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0B24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08541003">
            <w:pPr>
              <w:pStyle w:val="15"/>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4501" w:type="dxa"/>
          </w:tcPr>
          <w:p w14:paraId="3DF9E19B">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6DB17FB4">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04AA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403EE5F1">
            <w:pPr>
              <w:pStyle w:val="15"/>
              <w:jc w:val="center"/>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4501" w:type="dxa"/>
          </w:tcPr>
          <w:p w14:paraId="66623F5E">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681" w:type="dxa"/>
          </w:tcPr>
          <w:p w14:paraId="62E5E615">
            <w:pPr>
              <w:pStyle w:val="15"/>
              <w:jc w:val="center"/>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3991F2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D343B1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E84DE87">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33B2937">
      <w:pPr>
        <w:spacing w:line="440" w:lineRule="exact"/>
        <w:ind w:firstLine="4800" w:firstLineChars="2000"/>
        <w:rPr>
          <w:rFonts w:ascii="宋体" w:hAnsi="宋体" w:eastAsia="宋体"/>
          <w:color w:val="auto"/>
          <w:sz w:val="24"/>
          <w:szCs w:val="24"/>
          <w:highlight w:val="none"/>
          <w:u w:val="single"/>
        </w:rPr>
      </w:pPr>
    </w:p>
    <w:p w14:paraId="299D2B13">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3FF6C065">
      <w:pPr>
        <w:spacing w:line="360" w:lineRule="auto"/>
        <w:jc w:val="center"/>
        <w:outlineLvl w:val="1"/>
        <w:rPr>
          <w:rFonts w:asciiTheme="minorEastAsia" w:hAnsiTheme="minorEastAsia" w:eastAsiaTheme="minorEastAsia"/>
          <w:b/>
          <w:color w:val="auto"/>
          <w:sz w:val="24"/>
          <w:highlight w:val="none"/>
        </w:rPr>
      </w:pPr>
      <w:bookmarkStart w:id="94" w:name="_Toc26922"/>
      <w:bookmarkStart w:id="95" w:name="_Toc31518"/>
      <w:bookmarkStart w:id="96" w:name="_Toc121626298"/>
      <w:bookmarkStart w:id="97" w:name="_Toc204594911"/>
      <w:bookmarkStart w:id="98" w:name="_Toc520983594"/>
      <w:bookmarkStart w:id="99" w:name="_Toc516969106"/>
      <w:r>
        <w:rPr>
          <w:rFonts w:hint="eastAsia" w:asciiTheme="minorEastAsia" w:hAnsiTheme="minorEastAsia" w:eastAsiaTheme="minorEastAsia"/>
          <w:b/>
          <w:color w:val="auto"/>
          <w:sz w:val="24"/>
          <w:highlight w:val="none"/>
        </w:rPr>
        <w:t>五、授权书</w:t>
      </w:r>
      <w:bookmarkEnd w:id="94"/>
      <w:bookmarkEnd w:id="95"/>
      <w:bookmarkEnd w:id="96"/>
      <w:bookmarkEnd w:id="97"/>
      <w:bookmarkEnd w:id="98"/>
      <w:bookmarkEnd w:id="99"/>
    </w:p>
    <w:p w14:paraId="60EFFFD2">
      <w:pPr>
        <w:spacing w:line="360" w:lineRule="auto"/>
        <w:jc w:val="center"/>
        <w:rPr>
          <w:rFonts w:asciiTheme="minorEastAsia" w:hAnsiTheme="minorEastAsia" w:eastAsiaTheme="minorEastAsia"/>
          <w:b/>
          <w:color w:val="auto"/>
          <w:sz w:val="24"/>
          <w:highlight w:val="none"/>
        </w:rPr>
      </w:pPr>
    </w:p>
    <w:p w14:paraId="6E9F1ADB">
      <w:pPr>
        <w:pStyle w:val="20"/>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w:t>
      </w:r>
      <w:r>
        <w:rPr>
          <w:rFonts w:hint="eastAsia" w:hAnsi="宋体"/>
          <w:color w:val="auto"/>
          <w:sz w:val="24"/>
          <w:szCs w:val="28"/>
          <w:highlight w:val="none"/>
          <w:lang w:eastAsia="zh-CN"/>
        </w:rPr>
        <w:t>谈判</w:t>
      </w:r>
      <w:r>
        <w:rPr>
          <w:rFonts w:hint="eastAsia" w:hAnsi="宋体" w:eastAsia="宋体"/>
          <w:color w:val="auto"/>
          <w:sz w:val="24"/>
          <w:szCs w:val="28"/>
          <w:highlight w:val="none"/>
        </w:rPr>
        <w:t>过程的一切事宜，包括但不限于：提交响应文件、参与</w:t>
      </w:r>
      <w:r>
        <w:rPr>
          <w:rFonts w:hint="eastAsia" w:hAnsi="宋体"/>
          <w:color w:val="auto"/>
          <w:sz w:val="24"/>
          <w:szCs w:val="28"/>
          <w:highlight w:val="none"/>
          <w:lang w:eastAsia="zh-CN"/>
        </w:rPr>
        <w:t>谈判</w:t>
      </w:r>
      <w:r>
        <w:rPr>
          <w:rFonts w:hint="eastAsia" w:hAnsi="宋体" w:eastAsia="宋体"/>
          <w:color w:val="auto"/>
          <w:sz w:val="24"/>
          <w:szCs w:val="28"/>
          <w:highlight w:val="none"/>
        </w:rPr>
        <w:t>、签约等。供应商授权代表在采购活动过程中所签署的一切文件和处理与之有关的一切事务，本公司均予以认可并对此承担责任。供应商授权代表无转委托权。特此授权。</w:t>
      </w:r>
    </w:p>
    <w:p w14:paraId="48F34E06">
      <w:pPr>
        <w:pStyle w:val="20"/>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25FFC51E">
      <w:pPr>
        <w:pStyle w:val="20"/>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身份证明扫描件：</w:t>
      </w:r>
    </w:p>
    <w:p w14:paraId="5CE32158">
      <w:pPr>
        <w:pStyle w:val="20"/>
        <w:snapToGrid w:val="0"/>
        <w:spacing w:line="360" w:lineRule="auto"/>
        <w:ind w:firstLine="480" w:firstLineChars="200"/>
        <w:jc w:val="left"/>
        <w:rPr>
          <w:rFonts w:hAnsi="宋体" w:eastAsia="宋体"/>
          <w:color w:val="auto"/>
          <w:sz w:val="24"/>
          <w:highlight w:val="none"/>
        </w:rPr>
      </w:pPr>
    </w:p>
    <w:p w14:paraId="743B76F5">
      <w:pPr>
        <w:pStyle w:val="20"/>
        <w:snapToGrid w:val="0"/>
        <w:spacing w:line="360" w:lineRule="auto"/>
        <w:ind w:firstLine="480" w:firstLineChars="200"/>
        <w:jc w:val="left"/>
        <w:rPr>
          <w:rFonts w:hAnsi="宋体" w:eastAsia="宋体"/>
          <w:color w:val="auto"/>
          <w:sz w:val="24"/>
          <w:highlight w:val="none"/>
        </w:rPr>
      </w:pPr>
    </w:p>
    <w:p w14:paraId="052BE65A">
      <w:pPr>
        <w:pStyle w:val="20"/>
        <w:snapToGrid w:val="0"/>
        <w:spacing w:line="360" w:lineRule="auto"/>
        <w:ind w:firstLine="480" w:firstLineChars="200"/>
        <w:jc w:val="left"/>
        <w:rPr>
          <w:rFonts w:hAnsi="宋体" w:eastAsia="宋体"/>
          <w:color w:val="auto"/>
          <w:sz w:val="24"/>
          <w:highlight w:val="none"/>
        </w:rPr>
      </w:pPr>
    </w:p>
    <w:p w14:paraId="0953B884">
      <w:pPr>
        <w:pStyle w:val="20"/>
        <w:snapToGrid w:val="0"/>
        <w:spacing w:line="360" w:lineRule="auto"/>
        <w:ind w:firstLine="480" w:firstLineChars="200"/>
        <w:jc w:val="left"/>
        <w:rPr>
          <w:rFonts w:hAnsi="宋体" w:eastAsia="宋体"/>
          <w:color w:val="auto"/>
          <w:sz w:val="24"/>
          <w:highlight w:val="none"/>
        </w:rPr>
      </w:pPr>
    </w:p>
    <w:p w14:paraId="77182DC7">
      <w:pPr>
        <w:pStyle w:val="20"/>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38D1FCB">
      <w:pPr>
        <w:pStyle w:val="20"/>
        <w:snapToGrid w:val="0"/>
        <w:spacing w:line="360" w:lineRule="auto"/>
        <w:ind w:firstLine="480" w:firstLineChars="200"/>
        <w:jc w:val="left"/>
        <w:rPr>
          <w:rFonts w:hAnsi="宋体" w:eastAsia="宋体"/>
          <w:color w:val="auto"/>
          <w:sz w:val="24"/>
          <w:szCs w:val="28"/>
          <w:highlight w:val="none"/>
        </w:rPr>
      </w:pPr>
    </w:p>
    <w:p w14:paraId="23C6612A">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412D9A5E">
      <w:pPr>
        <w:spacing w:line="360" w:lineRule="auto"/>
        <w:rPr>
          <w:rFonts w:ascii="宋体" w:hAnsi="宋体" w:eastAsia="宋体"/>
          <w:color w:val="auto"/>
          <w:sz w:val="24"/>
          <w:szCs w:val="28"/>
          <w:highlight w:val="none"/>
        </w:rPr>
      </w:pPr>
    </w:p>
    <w:p w14:paraId="2AE82ED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690B252">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3A283328">
      <w:pPr>
        <w:spacing w:line="360" w:lineRule="auto"/>
        <w:rPr>
          <w:rFonts w:ascii="宋体" w:hAnsi="宋体" w:eastAsia="宋体"/>
          <w:color w:val="auto"/>
          <w:sz w:val="24"/>
          <w:szCs w:val="28"/>
          <w:highlight w:val="none"/>
        </w:rPr>
      </w:pPr>
    </w:p>
    <w:p w14:paraId="06AB1F2B">
      <w:pPr>
        <w:spacing w:line="360" w:lineRule="auto"/>
        <w:rPr>
          <w:rFonts w:ascii="宋体" w:hAnsi="宋体" w:eastAsia="宋体"/>
          <w:color w:val="auto"/>
          <w:sz w:val="24"/>
          <w:szCs w:val="28"/>
          <w:highlight w:val="none"/>
        </w:rPr>
      </w:pPr>
    </w:p>
    <w:p w14:paraId="5A1580B5">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9F4B137">
      <w:pPr>
        <w:pStyle w:val="20"/>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4B74E861">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w:t>
      </w:r>
      <w:r>
        <w:rPr>
          <w:rFonts w:hint="eastAsia" w:ascii="宋体" w:hAnsi="宋体"/>
          <w:color w:val="auto"/>
          <w:sz w:val="24"/>
          <w:highlight w:val="none"/>
          <w:lang w:eastAsia="zh-CN"/>
        </w:rPr>
        <w:t>谈判</w:t>
      </w:r>
      <w:r>
        <w:rPr>
          <w:rFonts w:hint="eastAsia" w:ascii="宋体" w:hAnsi="宋体" w:eastAsia="宋体"/>
          <w:color w:val="auto"/>
          <w:sz w:val="24"/>
          <w:highlight w:val="none"/>
        </w:rPr>
        <w:t>的无需提供授权书，仅提供身份证明扫描件。</w:t>
      </w:r>
    </w:p>
    <w:p w14:paraId="5C6E1BC7">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76A4B26E">
      <w:pPr>
        <w:spacing w:line="360" w:lineRule="auto"/>
        <w:jc w:val="center"/>
        <w:outlineLvl w:val="1"/>
        <w:rPr>
          <w:rFonts w:asciiTheme="minorEastAsia" w:hAnsiTheme="minorEastAsia" w:eastAsiaTheme="minorEastAsia"/>
          <w:b/>
          <w:color w:val="auto"/>
          <w:sz w:val="24"/>
          <w:highlight w:val="none"/>
        </w:rPr>
      </w:pPr>
      <w:bookmarkStart w:id="100" w:name="_Toc28033"/>
      <w:bookmarkStart w:id="101" w:name="_Toc22233"/>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谈判</w:t>
      </w:r>
      <w:r>
        <w:rPr>
          <w:rFonts w:hint="eastAsia" w:asciiTheme="minorEastAsia" w:hAnsiTheme="minorEastAsia" w:eastAsiaTheme="minorEastAsia"/>
          <w:b/>
          <w:color w:val="auto"/>
          <w:sz w:val="24"/>
          <w:highlight w:val="none"/>
        </w:rPr>
        <w:t>响应表</w:t>
      </w:r>
      <w:bookmarkEnd w:id="100"/>
      <w:bookmarkEnd w:id="101"/>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40"/>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2109"/>
        <w:gridCol w:w="2749"/>
        <w:gridCol w:w="2834"/>
        <w:gridCol w:w="891"/>
      </w:tblGrid>
      <w:tr w14:paraId="2148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9" w:hRule="atLeast"/>
          <w:jc w:val="center"/>
        </w:trPr>
        <w:tc>
          <w:tcPr>
            <w:tcW w:w="423" w:type="pct"/>
            <w:vAlign w:val="center"/>
          </w:tcPr>
          <w:p w14:paraId="0911BDE6">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B9596A5">
            <w:pPr>
              <w:pStyle w:val="2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217D3F3E">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谈判文件</w:t>
            </w:r>
            <w:r>
              <w:rPr>
                <w:rFonts w:hint="eastAsia" w:cs="Wingdings" w:asciiTheme="minorEastAsia" w:hAnsiTheme="minorEastAsia"/>
                <w:b/>
                <w:color w:val="auto"/>
                <w:sz w:val="24"/>
                <w:highlight w:val="none"/>
              </w:rPr>
              <w:t>要求</w:t>
            </w:r>
          </w:p>
        </w:tc>
        <w:tc>
          <w:tcPr>
            <w:tcW w:w="1510" w:type="pct"/>
            <w:vAlign w:val="center"/>
          </w:tcPr>
          <w:p w14:paraId="4CB951DC">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76582646">
            <w:pPr>
              <w:pStyle w:val="2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AE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45BDD3F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0B5D1A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6C670635">
            <w:pPr>
              <w:jc w:val="center"/>
              <w:rPr>
                <w:rFonts w:asciiTheme="minorEastAsia" w:hAnsiTheme="minorEastAsia" w:eastAsiaTheme="minorEastAsia"/>
                <w:color w:val="auto"/>
                <w:sz w:val="24"/>
                <w:highlight w:val="none"/>
              </w:rPr>
            </w:pPr>
          </w:p>
        </w:tc>
        <w:tc>
          <w:tcPr>
            <w:tcW w:w="1510" w:type="pct"/>
            <w:vAlign w:val="center"/>
          </w:tcPr>
          <w:p w14:paraId="765BAE84">
            <w:pPr>
              <w:jc w:val="center"/>
              <w:rPr>
                <w:rFonts w:asciiTheme="minorEastAsia" w:hAnsiTheme="minorEastAsia" w:eastAsiaTheme="minorEastAsia"/>
                <w:color w:val="auto"/>
                <w:sz w:val="24"/>
                <w:highlight w:val="none"/>
              </w:rPr>
            </w:pPr>
          </w:p>
        </w:tc>
        <w:tc>
          <w:tcPr>
            <w:tcW w:w="475" w:type="pct"/>
            <w:vAlign w:val="center"/>
          </w:tcPr>
          <w:p w14:paraId="3289A2CD">
            <w:pPr>
              <w:jc w:val="center"/>
              <w:rPr>
                <w:rFonts w:asciiTheme="minorEastAsia" w:hAnsiTheme="minorEastAsia" w:eastAsiaTheme="minorEastAsia"/>
                <w:color w:val="auto"/>
                <w:sz w:val="24"/>
                <w:highlight w:val="none"/>
              </w:rPr>
            </w:pPr>
          </w:p>
        </w:tc>
      </w:tr>
      <w:tr w14:paraId="721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607C396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5001916D">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1F74CA59">
            <w:pPr>
              <w:jc w:val="center"/>
              <w:rPr>
                <w:rFonts w:asciiTheme="minorEastAsia" w:hAnsiTheme="minorEastAsia" w:eastAsiaTheme="minorEastAsia"/>
                <w:color w:val="auto"/>
                <w:sz w:val="24"/>
                <w:highlight w:val="none"/>
              </w:rPr>
            </w:pPr>
          </w:p>
        </w:tc>
        <w:tc>
          <w:tcPr>
            <w:tcW w:w="1510" w:type="pct"/>
            <w:vAlign w:val="center"/>
          </w:tcPr>
          <w:p w14:paraId="4451EAA0">
            <w:pPr>
              <w:jc w:val="center"/>
              <w:rPr>
                <w:rFonts w:asciiTheme="minorEastAsia" w:hAnsiTheme="minorEastAsia" w:eastAsiaTheme="minorEastAsia"/>
                <w:color w:val="auto"/>
                <w:sz w:val="24"/>
                <w:highlight w:val="none"/>
              </w:rPr>
            </w:pPr>
          </w:p>
        </w:tc>
        <w:tc>
          <w:tcPr>
            <w:tcW w:w="475" w:type="pct"/>
            <w:vAlign w:val="center"/>
          </w:tcPr>
          <w:p w14:paraId="31B75B0A">
            <w:pPr>
              <w:jc w:val="center"/>
              <w:rPr>
                <w:rFonts w:asciiTheme="minorEastAsia" w:hAnsiTheme="minorEastAsia" w:eastAsiaTheme="minorEastAsia"/>
                <w:color w:val="auto"/>
                <w:sz w:val="24"/>
                <w:highlight w:val="none"/>
              </w:rPr>
            </w:pPr>
          </w:p>
        </w:tc>
      </w:tr>
      <w:tr w14:paraId="3C19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jc w:val="center"/>
        </w:trPr>
        <w:tc>
          <w:tcPr>
            <w:tcW w:w="423" w:type="pct"/>
            <w:vAlign w:val="center"/>
          </w:tcPr>
          <w:p w14:paraId="1BDAD07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8AD38BF">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F962E68">
            <w:pPr>
              <w:jc w:val="center"/>
              <w:rPr>
                <w:rFonts w:asciiTheme="minorEastAsia" w:hAnsiTheme="minorEastAsia" w:eastAsiaTheme="minorEastAsia"/>
                <w:color w:val="auto"/>
                <w:sz w:val="24"/>
                <w:highlight w:val="none"/>
              </w:rPr>
            </w:pPr>
          </w:p>
        </w:tc>
        <w:tc>
          <w:tcPr>
            <w:tcW w:w="1510" w:type="pct"/>
            <w:vAlign w:val="center"/>
          </w:tcPr>
          <w:p w14:paraId="66A1AFA7">
            <w:pPr>
              <w:pStyle w:val="126"/>
              <w:jc w:val="center"/>
              <w:rPr>
                <w:rFonts w:asciiTheme="minorEastAsia" w:hAnsiTheme="minorEastAsia" w:eastAsiaTheme="minorEastAsia"/>
                <w:color w:val="auto"/>
                <w:highlight w:val="none"/>
              </w:rPr>
            </w:pPr>
          </w:p>
        </w:tc>
        <w:tc>
          <w:tcPr>
            <w:tcW w:w="475" w:type="pct"/>
            <w:vAlign w:val="center"/>
          </w:tcPr>
          <w:p w14:paraId="45E98B20">
            <w:pPr>
              <w:jc w:val="center"/>
              <w:rPr>
                <w:rFonts w:asciiTheme="minorEastAsia" w:hAnsiTheme="minorEastAsia" w:eastAsiaTheme="minorEastAsia"/>
                <w:color w:val="auto"/>
                <w:sz w:val="24"/>
                <w:highlight w:val="none"/>
              </w:rPr>
            </w:pPr>
          </w:p>
        </w:tc>
      </w:tr>
      <w:tr w14:paraId="3474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423" w:type="pct"/>
            <w:vAlign w:val="center"/>
          </w:tcPr>
          <w:p w14:paraId="5A64E1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B838464">
            <w:pPr>
              <w:jc w:val="center"/>
              <w:rPr>
                <w:rFonts w:ascii="宋体" w:hAnsi="宋体" w:eastAsia="宋体"/>
                <w:color w:val="auto"/>
                <w:sz w:val="24"/>
                <w:highlight w:val="none"/>
              </w:rPr>
            </w:pPr>
          </w:p>
        </w:tc>
        <w:tc>
          <w:tcPr>
            <w:tcW w:w="1465" w:type="pct"/>
            <w:vAlign w:val="center"/>
          </w:tcPr>
          <w:p w14:paraId="1AE59BBC">
            <w:pPr>
              <w:jc w:val="center"/>
              <w:rPr>
                <w:rFonts w:asciiTheme="minorEastAsia" w:hAnsiTheme="minorEastAsia" w:eastAsiaTheme="minorEastAsia"/>
                <w:color w:val="auto"/>
                <w:sz w:val="24"/>
                <w:highlight w:val="none"/>
              </w:rPr>
            </w:pPr>
          </w:p>
        </w:tc>
        <w:tc>
          <w:tcPr>
            <w:tcW w:w="1510" w:type="pct"/>
            <w:vAlign w:val="center"/>
          </w:tcPr>
          <w:p w14:paraId="0FDED007">
            <w:pPr>
              <w:jc w:val="center"/>
              <w:rPr>
                <w:rFonts w:asciiTheme="minorEastAsia" w:hAnsiTheme="minorEastAsia" w:eastAsiaTheme="minorEastAsia"/>
                <w:color w:val="auto"/>
                <w:sz w:val="24"/>
                <w:highlight w:val="none"/>
              </w:rPr>
            </w:pPr>
          </w:p>
        </w:tc>
        <w:tc>
          <w:tcPr>
            <w:tcW w:w="475" w:type="pct"/>
            <w:vAlign w:val="center"/>
          </w:tcPr>
          <w:p w14:paraId="2A39717B">
            <w:pPr>
              <w:jc w:val="center"/>
              <w:rPr>
                <w:rFonts w:asciiTheme="minorEastAsia" w:hAnsiTheme="minorEastAsia" w:eastAsiaTheme="minorEastAsia"/>
                <w:color w:val="auto"/>
                <w:sz w:val="24"/>
                <w:highlight w:val="none"/>
              </w:rPr>
            </w:pPr>
          </w:p>
        </w:tc>
      </w:tr>
    </w:tbl>
    <w:p w14:paraId="6D38DC42">
      <w:pPr>
        <w:spacing w:line="360" w:lineRule="auto"/>
        <w:ind w:firstLine="435"/>
        <w:outlineLvl w:val="2"/>
        <w:rPr>
          <w:rFonts w:hint="eastAsia" w:asciiTheme="minorEastAsia" w:hAnsiTheme="minorEastAsia" w:eastAsiaTheme="minorEastAsia"/>
          <w:b/>
          <w:color w:val="auto"/>
          <w:sz w:val="24"/>
          <w:highlight w:val="none"/>
        </w:rPr>
      </w:pPr>
    </w:p>
    <w:p w14:paraId="2DCE81AC">
      <w:pPr>
        <w:spacing w:line="360" w:lineRule="auto"/>
        <w:ind w:firstLine="4800" w:firstLineChars="2000"/>
        <w:rPr>
          <w:rFonts w:hint="eastAsia" w:ascii="宋体" w:hAnsi="宋体" w:eastAsia="宋体"/>
          <w:color w:val="auto"/>
          <w:sz w:val="24"/>
          <w:highlight w:val="none"/>
          <w:lang w:val="en-US" w:eastAsia="zh-CN"/>
        </w:rPr>
      </w:pPr>
    </w:p>
    <w:p w14:paraId="4D9E8BA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EDBC658">
      <w:pPr>
        <w:tabs>
          <w:tab w:val="left" w:pos="630"/>
        </w:tabs>
        <w:spacing w:line="360" w:lineRule="auto"/>
        <w:ind w:firstLine="4800" w:firstLineChars="2000"/>
        <w:rPr>
          <w:rFonts w:hint="eastAsia" w:asciiTheme="minorEastAsia" w:hAnsiTheme="minorEastAsia" w:eastAsiaTheme="minorEastAsia"/>
          <w:b/>
          <w:bCs/>
          <w:color w:val="auto"/>
          <w:sz w:val="24"/>
          <w:highlight w:val="none"/>
          <w:lang w:eastAsia="zh-CN"/>
        </w:rPr>
        <w:sectPr>
          <w:headerReference r:id="rId10" w:type="default"/>
          <w:footerReference r:id="rId11" w:type="default"/>
          <w:pgSz w:w="11907" w:h="16840"/>
          <w:pgMar w:top="1117" w:right="1078" w:bottom="1060" w:left="1700" w:header="510" w:footer="886" w:gutter="0"/>
          <w:pgNumType w:fmt="decimal"/>
          <w:cols w:space="720" w:num="1"/>
        </w:sect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bookmarkStart w:id="102" w:name="_Hlk44283017"/>
    </w:p>
    <w:bookmarkEnd w:id="102"/>
    <w:p w14:paraId="38810593">
      <w:pPr>
        <w:rPr>
          <w:rFonts w:hint="eastAsia" w:asciiTheme="minorEastAsia" w:hAnsiTheme="minorEastAsia" w:eastAsiaTheme="minorEastAsia"/>
          <w:b/>
          <w:color w:val="auto"/>
          <w:sz w:val="24"/>
          <w:highlight w:val="none"/>
        </w:rPr>
      </w:pPr>
      <w:bookmarkStart w:id="103" w:name="_Toc20592"/>
      <w:bookmarkStart w:id="104" w:name="_Toc2278"/>
      <w:bookmarkStart w:id="105" w:name="_Hlk44283088"/>
    </w:p>
    <w:p w14:paraId="0049AF9E">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103"/>
      <w:bookmarkEnd w:id="104"/>
    </w:p>
    <w:p w14:paraId="2B2B9176">
      <w:pPr>
        <w:spacing w:line="360" w:lineRule="auto"/>
        <w:rPr>
          <w:rFonts w:asciiTheme="minorEastAsia" w:hAnsiTheme="minorEastAsia" w:eastAsiaTheme="minorEastAsia"/>
          <w:b/>
          <w:bCs/>
          <w:color w:val="auto"/>
          <w:sz w:val="24"/>
          <w:highlight w:val="none"/>
        </w:rPr>
      </w:pPr>
    </w:p>
    <w:p w14:paraId="34D6DF97">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6D8E2A4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6FBCCB2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221A19F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076032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75060F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CCE607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A37DD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D2D7572">
      <w:pPr>
        <w:spacing w:line="360" w:lineRule="auto"/>
        <w:rPr>
          <w:rFonts w:asciiTheme="minorEastAsia" w:hAnsiTheme="minorEastAsia" w:eastAsiaTheme="minorEastAsia"/>
          <w:bCs/>
          <w:color w:val="auto"/>
          <w:sz w:val="24"/>
          <w:highlight w:val="none"/>
        </w:rPr>
      </w:pPr>
    </w:p>
    <w:p w14:paraId="45B43CFF">
      <w:pPr>
        <w:spacing w:line="360" w:lineRule="auto"/>
        <w:rPr>
          <w:rFonts w:asciiTheme="minorEastAsia" w:hAnsiTheme="minorEastAsia" w:eastAsiaTheme="minorEastAsia"/>
          <w:bCs/>
          <w:color w:val="auto"/>
          <w:sz w:val="24"/>
          <w:highlight w:val="none"/>
        </w:rPr>
      </w:pPr>
    </w:p>
    <w:p w14:paraId="1464E63A">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36CCE517">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5A380B4D">
      <w:pPr>
        <w:widowControl/>
        <w:jc w:val="left"/>
        <w:rPr>
          <w:rFonts w:hint="eastAsia" w:asciiTheme="minorEastAsia" w:hAnsiTheme="minorEastAsia" w:eastAsiaTheme="minorEastAsia"/>
          <w:b/>
          <w:color w:val="auto"/>
          <w:sz w:val="24"/>
          <w:highlight w:val="yellow"/>
          <w:lang w:val="en-US" w:eastAsia="zh-CN"/>
        </w:rPr>
      </w:pPr>
      <w:r>
        <w:rPr>
          <w:rFonts w:asciiTheme="minorEastAsia" w:hAnsiTheme="minorEastAsia" w:eastAsiaTheme="minorEastAsia"/>
          <w:b/>
          <w:color w:val="auto"/>
          <w:sz w:val="24"/>
          <w:highlight w:val="none"/>
        </w:rPr>
        <w:br w:type="page"/>
      </w:r>
    </w:p>
    <w:bookmarkEnd w:id="105"/>
    <w:p w14:paraId="0AC106EE">
      <w:pPr>
        <w:spacing w:line="360" w:lineRule="auto"/>
        <w:jc w:val="center"/>
        <w:outlineLvl w:val="1"/>
        <w:rPr>
          <w:rFonts w:asciiTheme="minorEastAsia" w:hAnsiTheme="minorEastAsia" w:eastAsiaTheme="minorEastAsia"/>
          <w:b/>
          <w:color w:val="auto"/>
          <w:sz w:val="24"/>
          <w:highlight w:val="none"/>
        </w:rPr>
      </w:pPr>
      <w:bookmarkStart w:id="106" w:name="_Toc7807"/>
      <w:bookmarkStart w:id="107" w:name="_Toc3826"/>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、其他相关证明材料</w:t>
      </w:r>
      <w:bookmarkEnd w:id="106"/>
      <w:bookmarkEnd w:id="107"/>
    </w:p>
    <w:p w14:paraId="06FE52BA">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w:t>
      </w:r>
      <w:r>
        <w:rPr>
          <w:rFonts w:hint="eastAsia" w:ascii="宋体" w:hAnsi="宋体"/>
          <w:color w:val="auto"/>
          <w:sz w:val="24"/>
          <w:highlight w:val="none"/>
          <w:lang w:eastAsia="zh-CN"/>
        </w:rPr>
        <w:t>谈判</w:t>
      </w:r>
      <w:r>
        <w:rPr>
          <w:rFonts w:hint="eastAsia" w:ascii="宋体" w:hAnsi="宋体" w:eastAsia="宋体"/>
          <w:color w:val="auto"/>
          <w:sz w:val="24"/>
          <w:highlight w:val="none"/>
        </w:rPr>
        <w:t>邀请、采购需求及评审方法和标准规定的相关证明文件</w:t>
      </w:r>
      <w:r>
        <w:rPr>
          <w:rFonts w:hint="eastAsia" w:ascii="宋体" w:hAnsi="宋体" w:eastAsia="宋体"/>
          <w:color w:val="auto"/>
          <w:sz w:val="24"/>
          <w:highlight w:val="none"/>
          <w:lang w:eastAsia="zh-CN"/>
        </w:rPr>
        <w:t>的</w:t>
      </w:r>
      <w:r>
        <w:rPr>
          <w:rFonts w:hint="eastAsia" w:ascii="宋体" w:hAnsi="宋体" w:eastAsia="宋体"/>
          <w:color w:val="auto"/>
          <w:sz w:val="24"/>
          <w:highlight w:val="none"/>
          <w:lang w:val="en-US" w:eastAsia="zh-CN"/>
        </w:rPr>
        <w:t>影印件</w:t>
      </w:r>
      <w:r>
        <w:rPr>
          <w:rFonts w:hint="eastAsia" w:ascii="宋体" w:hAnsi="宋体" w:eastAsia="宋体"/>
          <w:color w:val="auto"/>
          <w:sz w:val="24"/>
          <w:highlight w:val="none"/>
        </w:rPr>
        <w:t>。</w:t>
      </w:r>
    </w:p>
    <w:p w14:paraId="53DBB2F5">
      <w:pPr>
        <w:spacing w:line="360" w:lineRule="auto"/>
        <w:ind w:firstLine="435"/>
        <w:rPr>
          <w:rFonts w:asciiTheme="minorEastAsia" w:hAnsiTheme="minorEastAsia" w:eastAsiaTheme="minorEastAsia"/>
          <w:color w:val="auto"/>
          <w:sz w:val="24"/>
          <w:highlight w:val="none"/>
        </w:rPr>
      </w:pPr>
    </w:p>
    <w:p w14:paraId="7DF6F908">
      <w:pPr>
        <w:spacing w:line="360" w:lineRule="auto"/>
        <w:ind w:firstLine="480" w:firstLineChars="200"/>
        <w:rPr>
          <w:rFonts w:asciiTheme="minorEastAsia" w:hAnsiTheme="minorEastAsia" w:eastAsiaTheme="minorEastAsia"/>
          <w:color w:val="auto"/>
          <w:sz w:val="24"/>
          <w:highlight w:val="none"/>
        </w:rPr>
      </w:pPr>
    </w:p>
    <w:p w14:paraId="1C1D826A">
      <w:pPr>
        <w:spacing w:line="360" w:lineRule="auto"/>
        <w:jc w:val="center"/>
        <w:rPr>
          <w:rFonts w:asciiTheme="minorEastAsia" w:hAnsiTheme="minorEastAsia" w:eastAsiaTheme="minorEastAsia"/>
          <w:b/>
          <w:color w:val="auto"/>
          <w:sz w:val="24"/>
          <w:highlight w:val="none"/>
        </w:rPr>
      </w:pPr>
    </w:p>
    <w:p w14:paraId="1E2D9C2F">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028937E5">
      <w:pPr>
        <w:spacing w:line="360" w:lineRule="auto"/>
        <w:jc w:val="center"/>
        <w:outlineLvl w:val="0"/>
        <w:rPr>
          <w:rFonts w:ascii="宋体" w:hAnsi="宋体" w:eastAsia="宋体"/>
          <w:b/>
          <w:bCs/>
          <w:color w:val="auto"/>
          <w:sz w:val="28"/>
          <w:highlight w:val="none"/>
        </w:rPr>
      </w:pPr>
      <w:bookmarkStart w:id="108" w:name="_Toc63440924"/>
      <w:bookmarkStart w:id="109" w:name="_Toc19418"/>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108"/>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9"/>
    </w:p>
    <w:p w14:paraId="6C9CAE97">
      <w:pPr>
        <w:spacing w:line="360" w:lineRule="auto"/>
        <w:jc w:val="center"/>
        <w:outlineLvl w:val="1"/>
        <w:rPr>
          <w:rFonts w:ascii="仿宋" w:hAnsi="仿宋" w:eastAsia="仿宋" w:cs="仿宋"/>
          <w:b/>
          <w:bCs/>
          <w:color w:val="auto"/>
          <w:sz w:val="32"/>
          <w:szCs w:val="44"/>
          <w:highlight w:val="none"/>
        </w:rPr>
      </w:pPr>
      <w:bookmarkStart w:id="110" w:name="_Toc2142"/>
      <w:bookmarkStart w:id="111" w:name="_Toc8735"/>
      <w:r>
        <w:rPr>
          <w:rFonts w:hint="eastAsia" w:ascii="仿宋" w:hAnsi="仿宋" w:eastAsia="仿宋" w:cs="仿宋"/>
          <w:b/>
          <w:bCs/>
          <w:color w:val="auto"/>
          <w:sz w:val="32"/>
          <w:szCs w:val="44"/>
          <w:highlight w:val="none"/>
        </w:rPr>
        <w:t>询问函范本</w:t>
      </w:r>
      <w:bookmarkEnd w:id="110"/>
      <w:bookmarkEnd w:id="111"/>
    </w:p>
    <w:p w14:paraId="7236665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11C106CE">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2A8AAD0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7AFA4AC9">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2" w:name="_Toc26386"/>
      <w:bookmarkStart w:id="113" w:name="_Toc9092"/>
      <w:r>
        <w:rPr>
          <w:rFonts w:hint="eastAsia" w:cs="仿宋" w:asciiTheme="minorEastAsia" w:hAnsiTheme="minorEastAsia" w:eastAsiaTheme="minorEastAsia"/>
          <w:color w:val="auto"/>
          <w:sz w:val="24"/>
          <w:szCs w:val="24"/>
          <w:highlight w:val="none"/>
        </w:rPr>
        <w:t>一、(事项一)</w:t>
      </w:r>
      <w:bookmarkEnd w:id="112"/>
      <w:bookmarkEnd w:id="113"/>
    </w:p>
    <w:p w14:paraId="46A0F4F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1DE78D0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5434FC5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CE2D7D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14" w:name="_Toc9273"/>
      <w:bookmarkStart w:id="115" w:name="_Toc17582"/>
      <w:r>
        <w:rPr>
          <w:rFonts w:hint="eastAsia" w:cs="仿宋" w:asciiTheme="minorEastAsia" w:hAnsiTheme="minorEastAsia" w:eastAsiaTheme="minorEastAsia"/>
          <w:color w:val="auto"/>
          <w:sz w:val="24"/>
          <w:szCs w:val="24"/>
          <w:highlight w:val="none"/>
        </w:rPr>
        <w:t>二、(事项二)</w:t>
      </w:r>
      <w:bookmarkEnd w:id="114"/>
      <w:bookmarkEnd w:id="115"/>
    </w:p>
    <w:p w14:paraId="4AEB037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41DD7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583B9F1F">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1A85A16">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D01A1DD">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0F6FC40">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46B8145">
      <w:pPr>
        <w:jc w:val="center"/>
        <w:outlineLvl w:val="1"/>
        <w:rPr>
          <w:rFonts w:ascii="仿宋" w:hAnsi="仿宋" w:eastAsia="仿宋" w:cs="仿宋"/>
          <w:b/>
          <w:bCs/>
          <w:color w:val="auto"/>
          <w:sz w:val="32"/>
          <w:szCs w:val="44"/>
          <w:highlight w:val="none"/>
        </w:rPr>
      </w:pPr>
      <w:bookmarkStart w:id="116" w:name="_Toc6990"/>
      <w:bookmarkStart w:id="117" w:name="_Toc26673"/>
      <w:r>
        <w:rPr>
          <w:rFonts w:hint="eastAsia" w:ascii="仿宋" w:hAnsi="仿宋" w:eastAsia="仿宋" w:cs="仿宋"/>
          <w:b/>
          <w:bCs/>
          <w:color w:val="auto"/>
          <w:sz w:val="32"/>
          <w:szCs w:val="44"/>
          <w:highlight w:val="none"/>
        </w:rPr>
        <w:t>质疑函范本</w:t>
      </w:r>
      <w:bookmarkEnd w:id="116"/>
      <w:bookmarkEnd w:id="117"/>
    </w:p>
    <w:p w14:paraId="3826577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18" w:name="_Toc2994"/>
      <w:bookmarkStart w:id="119" w:name="_Toc29510"/>
      <w:r>
        <w:rPr>
          <w:rFonts w:hint="eastAsia" w:cs="仿宋" w:asciiTheme="minorEastAsia" w:hAnsiTheme="minorEastAsia" w:eastAsiaTheme="minorEastAsia"/>
          <w:b/>
          <w:bCs/>
          <w:color w:val="auto"/>
          <w:sz w:val="24"/>
          <w:szCs w:val="24"/>
          <w:highlight w:val="none"/>
        </w:rPr>
        <w:t>一、质疑供应商基本信息</w:t>
      </w:r>
      <w:bookmarkEnd w:id="118"/>
      <w:bookmarkEnd w:id="119"/>
    </w:p>
    <w:p w14:paraId="3E568A4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4C9410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9D4663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972733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C2241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1DF45D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112806B7">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0" w:name="_Toc31042"/>
      <w:bookmarkStart w:id="121" w:name="_Toc28130"/>
      <w:r>
        <w:rPr>
          <w:rFonts w:hint="eastAsia" w:cs="仿宋" w:asciiTheme="minorEastAsia" w:hAnsiTheme="minorEastAsia" w:eastAsiaTheme="minorEastAsia"/>
          <w:b/>
          <w:bCs/>
          <w:color w:val="auto"/>
          <w:sz w:val="24"/>
          <w:szCs w:val="24"/>
          <w:highlight w:val="none"/>
        </w:rPr>
        <w:t>二、质疑项目基本情况</w:t>
      </w:r>
      <w:bookmarkEnd w:id="120"/>
      <w:bookmarkEnd w:id="121"/>
    </w:p>
    <w:p w14:paraId="6C21A17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0699F0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8037C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3139E6A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246CE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2" w:name="_Toc20587"/>
      <w:bookmarkStart w:id="123" w:name="_Toc6486"/>
      <w:r>
        <w:rPr>
          <w:rFonts w:hint="eastAsia" w:cs="仿宋" w:asciiTheme="minorEastAsia" w:hAnsiTheme="minorEastAsia" w:eastAsiaTheme="minorEastAsia"/>
          <w:b/>
          <w:bCs/>
          <w:color w:val="auto"/>
          <w:sz w:val="24"/>
          <w:szCs w:val="24"/>
          <w:highlight w:val="none"/>
        </w:rPr>
        <w:t>三、质疑事项具体内容</w:t>
      </w:r>
      <w:bookmarkEnd w:id="122"/>
      <w:bookmarkEnd w:id="123"/>
    </w:p>
    <w:p w14:paraId="6215648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362D2F3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79A3071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5E5C2BE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FDC565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31C902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2A7BFF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CEA33F7">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24" w:name="_Toc32755"/>
      <w:bookmarkStart w:id="125" w:name="_Toc20470"/>
      <w:r>
        <w:rPr>
          <w:rFonts w:hint="eastAsia" w:cs="仿宋" w:asciiTheme="minorEastAsia" w:hAnsiTheme="minorEastAsia" w:eastAsiaTheme="minorEastAsia"/>
          <w:b/>
          <w:bCs/>
          <w:color w:val="auto"/>
          <w:sz w:val="24"/>
          <w:szCs w:val="24"/>
          <w:highlight w:val="none"/>
        </w:rPr>
        <w:t>四、与质疑事项相关的质疑请求</w:t>
      </w:r>
      <w:bookmarkEnd w:id="124"/>
      <w:bookmarkEnd w:id="125"/>
    </w:p>
    <w:p w14:paraId="62D5B9F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B3762F3">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78BA5E9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6D95E66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361F5D42">
      <w:pPr>
        <w:outlineLvl w:val="0"/>
        <w:rPr>
          <w:rFonts w:asciiTheme="minorEastAsia" w:hAnsiTheme="minorEastAsia" w:eastAsiaTheme="minorEastAsia"/>
          <w:b/>
          <w:color w:val="auto"/>
          <w:sz w:val="28"/>
          <w:szCs w:val="32"/>
          <w:highlight w:val="none"/>
        </w:rPr>
      </w:pPr>
      <w:bookmarkStart w:id="126" w:name="_Toc21667"/>
      <w:bookmarkStart w:id="127" w:name="_Toc8368"/>
      <w:r>
        <w:rPr>
          <w:rFonts w:hint="eastAsia" w:asciiTheme="minorEastAsia" w:hAnsiTheme="minorEastAsia" w:eastAsiaTheme="minorEastAsia"/>
          <w:b/>
          <w:color w:val="auto"/>
          <w:sz w:val="28"/>
          <w:szCs w:val="32"/>
          <w:highlight w:val="none"/>
        </w:rPr>
        <w:t>质疑函制作说明：</w:t>
      </w:r>
      <w:bookmarkEnd w:id="126"/>
      <w:bookmarkEnd w:id="127"/>
    </w:p>
    <w:p w14:paraId="0AE2F9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F1CCB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1320E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3D2D2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EC80D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70E3E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1FD6589C">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542201B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p w14:paraId="3CE1F113">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pPr>
    </w:p>
    <w:sectPr>
      <w:headerReference r:id="rId12" w:type="default"/>
      <w:footerReference r:id="rId13" w:type="default"/>
      <w:pgSz w:w="11906" w:h="16838"/>
      <w:pgMar w:top="1440" w:right="1486" w:bottom="1440" w:left="1800" w:header="454" w:footer="68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D12AF">
    <w:pPr>
      <w:pStyle w:val="25"/>
      <w:jc w:val="both"/>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75178">
    <w:pPr>
      <w:pStyle w:val="25"/>
      <w:jc w:val="center"/>
      <w:rPr>
        <w:rFonts w:ascii="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89A92">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FE89A92">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313A">
    <w:pPr>
      <w:pStyle w:val="25"/>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EE66B">
                          <w:pPr>
                            <w:pStyle w:val="2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4EE66B">
                    <w:pPr>
                      <w:pStyle w:val="2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EEF4">
    <w:pPr>
      <w:pStyle w:val="2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A9642">
                          <w:pPr>
                            <w:pStyle w:val="2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9BA9642">
                    <w:pPr>
                      <w:pStyle w:val="2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1B6E">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2CFDD">
                          <w:pPr>
                            <w:pStyle w:val="2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42CFDD">
                    <w:pPr>
                      <w:pStyle w:val="2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5"/>
      <w:jc w:val="center"/>
      <w:rPr>
        <w:rFonts w:hint="default" w:eastAsiaTheme="minorEastAsia"/>
        <w:sz w:val="17"/>
        <w:szCs w:val="17"/>
        <w:lang w:val="en-US" w:eastAsia="zh-CN"/>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6094B">
                          <w:pPr>
                            <w:pStyle w:val="2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86094B">
                    <w:pPr>
                      <w:pStyle w:val="2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BEE6B">
    <w:pPr>
      <w:pStyle w:val="27"/>
      <w:pBdr>
        <w:bottom w:val="none" w:color="auto" w:sz="0" w:space="1"/>
      </w:pBdr>
      <w:jc w:val="both"/>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52EC4">
    <w:pPr>
      <w:pStyle w:val="27"/>
      <w:pBdr>
        <w:bottom w:val="none" w:color="auto" w:sz="0" w:space="1"/>
      </w:pBdr>
      <w:jc w:val="left"/>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F3248">
    <w:pPr>
      <w:pStyle w:val="27"/>
      <w:pBdr>
        <w:bottom w:val="none" w:color="auto" w:sz="0" w:space="1"/>
      </w:pBdr>
      <w:jc w:val="lef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3773C2D"/>
    <w:rsid w:val="058C5C9F"/>
    <w:rsid w:val="06563BB8"/>
    <w:rsid w:val="07C80EFB"/>
    <w:rsid w:val="08251EAA"/>
    <w:rsid w:val="08916AB3"/>
    <w:rsid w:val="09084174"/>
    <w:rsid w:val="09287EA3"/>
    <w:rsid w:val="0A903CFA"/>
    <w:rsid w:val="0A91481A"/>
    <w:rsid w:val="0CC021A1"/>
    <w:rsid w:val="10E24D87"/>
    <w:rsid w:val="119A1F8D"/>
    <w:rsid w:val="13524CBA"/>
    <w:rsid w:val="13750D6C"/>
    <w:rsid w:val="13C347B9"/>
    <w:rsid w:val="16A92918"/>
    <w:rsid w:val="18735030"/>
    <w:rsid w:val="18FA2EDF"/>
    <w:rsid w:val="1A66331F"/>
    <w:rsid w:val="1AF95668"/>
    <w:rsid w:val="1CE22479"/>
    <w:rsid w:val="1E0104DD"/>
    <w:rsid w:val="1EA4741C"/>
    <w:rsid w:val="20344F28"/>
    <w:rsid w:val="206770AC"/>
    <w:rsid w:val="20886C58"/>
    <w:rsid w:val="23241284"/>
    <w:rsid w:val="23530B29"/>
    <w:rsid w:val="27AC56F0"/>
    <w:rsid w:val="282F3B79"/>
    <w:rsid w:val="283C571B"/>
    <w:rsid w:val="2850063C"/>
    <w:rsid w:val="286E4163"/>
    <w:rsid w:val="291E2007"/>
    <w:rsid w:val="29CF3D8B"/>
    <w:rsid w:val="2C415B66"/>
    <w:rsid w:val="2CD32C5A"/>
    <w:rsid w:val="2D2D2C20"/>
    <w:rsid w:val="30C62676"/>
    <w:rsid w:val="30D37E45"/>
    <w:rsid w:val="31BF072E"/>
    <w:rsid w:val="33ED7605"/>
    <w:rsid w:val="340842AA"/>
    <w:rsid w:val="353B3065"/>
    <w:rsid w:val="35DA59F3"/>
    <w:rsid w:val="37321D6A"/>
    <w:rsid w:val="37903539"/>
    <w:rsid w:val="388A16E7"/>
    <w:rsid w:val="38F3153C"/>
    <w:rsid w:val="39F03816"/>
    <w:rsid w:val="3CC75F2B"/>
    <w:rsid w:val="3CE61832"/>
    <w:rsid w:val="3CF814E4"/>
    <w:rsid w:val="3D874491"/>
    <w:rsid w:val="3DDE563E"/>
    <w:rsid w:val="3F5D7BA0"/>
    <w:rsid w:val="3FA50FFF"/>
    <w:rsid w:val="406E7427"/>
    <w:rsid w:val="41817B76"/>
    <w:rsid w:val="418A33DF"/>
    <w:rsid w:val="435C016E"/>
    <w:rsid w:val="43964717"/>
    <w:rsid w:val="43BE3353"/>
    <w:rsid w:val="443D4540"/>
    <w:rsid w:val="45553AE5"/>
    <w:rsid w:val="45974888"/>
    <w:rsid w:val="47470D57"/>
    <w:rsid w:val="47D26073"/>
    <w:rsid w:val="47E75CBA"/>
    <w:rsid w:val="4B700D53"/>
    <w:rsid w:val="4BDA12B0"/>
    <w:rsid w:val="4D317F5A"/>
    <w:rsid w:val="4D3A7115"/>
    <w:rsid w:val="4D677E3B"/>
    <w:rsid w:val="523429E2"/>
    <w:rsid w:val="536D2F2E"/>
    <w:rsid w:val="53F1220D"/>
    <w:rsid w:val="546D21DB"/>
    <w:rsid w:val="5658373F"/>
    <w:rsid w:val="566D6A2E"/>
    <w:rsid w:val="57346FE0"/>
    <w:rsid w:val="591C7D2C"/>
    <w:rsid w:val="59B361F2"/>
    <w:rsid w:val="59E912C0"/>
    <w:rsid w:val="5CAC4BB0"/>
    <w:rsid w:val="5DFC5B86"/>
    <w:rsid w:val="5E677C9B"/>
    <w:rsid w:val="5EA70DDA"/>
    <w:rsid w:val="60C63B32"/>
    <w:rsid w:val="629038C3"/>
    <w:rsid w:val="642A69CF"/>
    <w:rsid w:val="65271F32"/>
    <w:rsid w:val="66091AE9"/>
    <w:rsid w:val="68AB6E74"/>
    <w:rsid w:val="6942558D"/>
    <w:rsid w:val="6A2133F4"/>
    <w:rsid w:val="6A7702DC"/>
    <w:rsid w:val="6AC87D14"/>
    <w:rsid w:val="6BE0108D"/>
    <w:rsid w:val="6C550632"/>
    <w:rsid w:val="6D263022"/>
    <w:rsid w:val="742915A0"/>
    <w:rsid w:val="74B766DB"/>
    <w:rsid w:val="76764668"/>
    <w:rsid w:val="774C5829"/>
    <w:rsid w:val="77893908"/>
    <w:rsid w:val="77E56B80"/>
    <w:rsid w:val="78A3591C"/>
    <w:rsid w:val="790E7239"/>
    <w:rsid w:val="79FB4EC7"/>
    <w:rsid w:val="7C42088B"/>
    <w:rsid w:val="7CE63738"/>
    <w:rsid w:val="7D36737D"/>
    <w:rsid w:val="7D3D7B44"/>
    <w:rsid w:val="7E0155BF"/>
    <w:rsid w:val="7EBE08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1"/>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2"/>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3"/>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54"/>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55"/>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56"/>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57"/>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58"/>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59"/>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link w:val="79"/>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annotation text"/>
    <w:basedOn w:val="1"/>
    <w:link w:val="117"/>
    <w:unhideWhenUsed/>
    <w:qFormat/>
    <w:uiPriority w:val="0"/>
    <w:pPr>
      <w:adjustRightInd/>
      <w:spacing w:line="500" w:lineRule="exact"/>
      <w:jc w:val="left"/>
    </w:pPr>
    <w:rPr>
      <w:sz w:val="20"/>
    </w:rPr>
  </w:style>
  <w:style w:type="paragraph" w:styleId="14">
    <w:name w:val="Body Text 3"/>
    <w:basedOn w:val="1"/>
    <w:link w:val="73"/>
    <w:semiHidden/>
    <w:unhideWhenUsed/>
    <w:qFormat/>
    <w:uiPriority w:val="99"/>
    <w:pPr>
      <w:spacing w:after="120"/>
    </w:pPr>
    <w:rPr>
      <w:sz w:val="16"/>
      <w:szCs w:val="16"/>
    </w:rPr>
  </w:style>
  <w:style w:type="paragraph" w:styleId="15">
    <w:name w:val="Body Text"/>
    <w:basedOn w:val="1"/>
    <w:next w:val="1"/>
    <w:link w:val="80"/>
    <w:autoRedefine/>
    <w:unhideWhenUsed/>
    <w:qFormat/>
    <w:uiPriority w:val="0"/>
    <w:pPr>
      <w:spacing w:after="120"/>
    </w:pPr>
  </w:style>
  <w:style w:type="paragraph" w:styleId="16">
    <w:name w:val="Body Text Indent"/>
    <w:basedOn w:val="1"/>
    <w:link w:val="63"/>
    <w:unhideWhenUsed/>
    <w:qFormat/>
    <w:uiPriority w:val="0"/>
    <w:pPr>
      <w:ind w:left="2730" w:hanging="2730" w:hangingChars="1365"/>
      <w:jc w:val="left"/>
    </w:pPr>
    <w:rPr>
      <w:sz w:val="20"/>
      <w:lang w:bidi="he-IL"/>
    </w:rPr>
  </w:style>
  <w:style w:type="paragraph" w:styleId="17">
    <w:name w:val="Block Text"/>
    <w:basedOn w:val="1"/>
    <w:autoRedefine/>
    <w:unhideWhenUsed/>
    <w:qFormat/>
    <w:uiPriority w:val="99"/>
    <w:pPr>
      <w:spacing w:after="120"/>
      <w:ind w:left="1440" w:leftChars="700" w:right="1440" w:rightChars="700"/>
    </w:pPr>
    <w:rPr>
      <w:szCs w:val="24"/>
    </w:rPr>
  </w:style>
  <w:style w:type="paragraph" w:styleId="18">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19">
    <w:name w:val="toc 3"/>
    <w:basedOn w:val="1"/>
    <w:next w:val="1"/>
    <w:autoRedefine/>
    <w:unhideWhenUsed/>
    <w:qFormat/>
    <w:uiPriority w:val="39"/>
    <w:pPr>
      <w:ind w:left="840" w:leftChars="400"/>
    </w:pPr>
  </w:style>
  <w:style w:type="paragraph" w:styleId="20">
    <w:name w:val="Plain Text"/>
    <w:basedOn w:val="1"/>
    <w:link w:val="118"/>
    <w:autoRedefine/>
    <w:qFormat/>
    <w:uiPriority w:val="0"/>
    <w:pPr>
      <w:textAlignment w:val="baseline"/>
    </w:pPr>
    <w:rPr>
      <w:rFonts w:ascii="宋体" w:hAnsi="Courier New"/>
    </w:rPr>
  </w:style>
  <w:style w:type="paragraph" w:styleId="21">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2">
    <w:name w:val="Date"/>
    <w:basedOn w:val="1"/>
    <w:next w:val="1"/>
    <w:link w:val="78"/>
    <w:autoRedefine/>
    <w:semiHidden/>
    <w:unhideWhenUsed/>
    <w:qFormat/>
    <w:uiPriority w:val="99"/>
    <w:pPr>
      <w:ind w:left="100" w:leftChars="2500"/>
    </w:pPr>
  </w:style>
  <w:style w:type="paragraph" w:styleId="23">
    <w:name w:val="Body Text Indent 2"/>
    <w:basedOn w:val="1"/>
    <w:link w:val="76"/>
    <w:autoRedefine/>
    <w:unhideWhenUsed/>
    <w:qFormat/>
    <w:uiPriority w:val="99"/>
    <w:pPr>
      <w:spacing w:after="120" w:line="480" w:lineRule="auto"/>
      <w:ind w:left="420" w:leftChars="200"/>
      <w:jc w:val="left"/>
    </w:pPr>
  </w:style>
  <w:style w:type="paragraph" w:styleId="24">
    <w:name w:val="Balloon Text"/>
    <w:basedOn w:val="1"/>
    <w:link w:val="62"/>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5">
    <w:name w:val="footer"/>
    <w:basedOn w:val="1"/>
    <w:link w:val="61"/>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link w:val="60"/>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8">
    <w:name w:val="toc 1"/>
    <w:basedOn w:val="1"/>
    <w:next w:val="1"/>
    <w:autoRedefine/>
    <w:unhideWhenUsed/>
    <w:qFormat/>
    <w:uiPriority w:val="39"/>
  </w:style>
  <w:style w:type="paragraph" w:styleId="29">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0">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1">
    <w:name w:val="Body Text Indent 3"/>
    <w:basedOn w:val="1"/>
    <w:link w:val="128"/>
    <w:autoRedefine/>
    <w:semiHidden/>
    <w:unhideWhenUsed/>
    <w:qFormat/>
    <w:uiPriority w:val="99"/>
    <w:pPr>
      <w:spacing w:after="120"/>
      <w:ind w:left="420" w:leftChars="200"/>
    </w:pPr>
    <w:rPr>
      <w:sz w:val="16"/>
      <w:szCs w:val="16"/>
    </w:rPr>
  </w:style>
  <w:style w:type="paragraph" w:styleId="32">
    <w:name w:val="toc 2"/>
    <w:basedOn w:val="1"/>
    <w:next w:val="1"/>
    <w:autoRedefine/>
    <w:qFormat/>
    <w:uiPriority w:val="39"/>
    <w:pPr>
      <w:ind w:left="420" w:leftChars="200"/>
    </w:pPr>
  </w:style>
  <w:style w:type="paragraph" w:styleId="33">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4">
    <w:name w:val="Body Text 2"/>
    <w:basedOn w:val="1"/>
    <w:qFormat/>
    <w:uiPriority w:val="0"/>
    <w:pPr>
      <w:widowControl/>
      <w:jc w:val="center"/>
    </w:pPr>
    <w:rPr>
      <w:rFonts w:ascii="楷体_GB2312" w:eastAsia="楷体_GB2312"/>
      <w:sz w:val="20"/>
    </w:rPr>
  </w:style>
  <w:style w:type="paragraph" w:styleId="35">
    <w:name w:val="Message Header"/>
    <w:basedOn w:val="1"/>
    <w:next w:val="20"/>
    <w:link w:val="119"/>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5"/>
    <w:link w:val="87"/>
    <w:autoRedefine/>
    <w:unhideWhenUsed/>
    <w:qFormat/>
    <w:uiPriority w:val="99"/>
    <w:pPr>
      <w:ind w:firstLine="420" w:firstLineChars="100"/>
    </w:pPr>
  </w:style>
  <w:style w:type="paragraph" w:styleId="39">
    <w:name w:val="Body Text First Indent 2"/>
    <w:basedOn w:val="16"/>
    <w:link w:val="86"/>
    <w:unhideWhenUsed/>
    <w:qFormat/>
    <w:uiPriority w:val="0"/>
    <w:pPr>
      <w:adjustRightInd/>
      <w:spacing w:after="120" w:line="240" w:lineRule="auto"/>
      <w:ind w:left="420" w:leftChars="200" w:firstLine="420" w:firstLineChars="200"/>
      <w:jc w:val="both"/>
    </w:pPr>
    <w:rPr>
      <w:kern w:val="2"/>
      <w:sz w:val="21"/>
      <w:szCs w:val="24"/>
      <w:lang w:bidi="ar-SA"/>
    </w:r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49">
    <w:name w:val="*正文"/>
    <w:basedOn w:val="12"/>
    <w:qFormat/>
    <w:uiPriority w:val="0"/>
    <w:pPr>
      <w:ind w:firstLine="200"/>
    </w:pPr>
    <w:rPr>
      <w:rFonts w:ascii="宋体" w:hAnsi="宋体" w:eastAsia="宋体" w:cs="Times New Roman"/>
      <w:color w:val="000000"/>
    </w:rPr>
  </w:style>
  <w:style w:type="paragraph" w:customStyle="1" w:styleId="50">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51">
    <w:name w:val="标题 1 字符"/>
    <w:basedOn w:val="42"/>
    <w:link w:val="2"/>
    <w:autoRedefine/>
    <w:qFormat/>
    <w:uiPriority w:val="9"/>
    <w:rPr>
      <w:rFonts w:ascii="Times New Roman" w:hAnsi="Times New Roman" w:eastAsia="微软雅黑" w:cs="Times New Roman"/>
      <w:b/>
      <w:bCs/>
      <w:kern w:val="44"/>
      <w:sz w:val="32"/>
      <w:szCs w:val="44"/>
    </w:rPr>
  </w:style>
  <w:style w:type="character" w:customStyle="1" w:styleId="52">
    <w:name w:val="标题 2 字符"/>
    <w:basedOn w:val="42"/>
    <w:link w:val="3"/>
    <w:autoRedefine/>
    <w:qFormat/>
    <w:uiPriority w:val="9"/>
    <w:rPr>
      <w:rFonts w:eastAsia="微软雅黑" w:asciiTheme="majorHAnsi" w:hAnsiTheme="majorHAnsi" w:cstheme="majorBidi"/>
      <w:b/>
      <w:bCs/>
      <w:kern w:val="0"/>
      <w:sz w:val="30"/>
      <w:szCs w:val="32"/>
    </w:rPr>
  </w:style>
  <w:style w:type="character" w:customStyle="1" w:styleId="53">
    <w:name w:val="标题 3 字符"/>
    <w:basedOn w:val="42"/>
    <w:link w:val="4"/>
    <w:autoRedefine/>
    <w:qFormat/>
    <w:uiPriority w:val="0"/>
    <w:rPr>
      <w:rFonts w:ascii="Times New Roman" w:hAnsi="Times New Roman" w:eastAsia="微软雅黑" w:cs="Times New Roman"/>
      <w:b/>
      <w:bCs/>
      <w:kern w:val="0"/>
      <w:sz w:val="28"/>
      <w:szCs w:val="32"/>
    </w:rPr>
  </w:style>
  <w:style w:type="character" w:customStyle="1" w:styleId="54">
    <w:name w:val="标题 4 字符"/>
    <w:basedOn w:val="42"/>
    <w:link w:val="5"/>
    <w:autoRedefine/>
    <w:qFormat/>
    <w:uiPriority w:val="9"/>
    <w:rPr>
      <w:rFonts w:eastAsia="微软雅黑" w:asciiTheme="majorHAnsi" w:hAnsiTheme="majorHAnsi" w:cstheme="majorBidi"/>
      <w:b/>
      <w:bCs/>
      <w:kern w:val="0"/>
      <w:sz w:val="24"/>
      <w:szCs w:val="28"/>
    </w:rPr>
  </w:style>
  <w:style w:type="character" w:customStyle="1" w:styleId="55">
    <w:name w:val="标题 5 字符"/>
    <w:basedOn w:val="42"/>
    <w:link w:val="6"/>
    <w:autoRedefine/>
    <w:qFormat/>
    <w:uiPriority w:val="9"/>
    <w:rPr>
      <w:rFonts w:ascii="Times New Roman" w:hAnsi="Times New Roman" w:eastAsia="宋体" w:cs="Times New Roman"/>
      <w:b/>
      <w:bCs/>
      <w:sz w:val="28"/>
      <w:szCs w:val="28"/>
    </w:rPr>
  </w:style>
  <w:style w:type="character" w:customStyle="1" w:styleId="56">
    <w:name w:val="标题 6 字符"/>
    <w:basedOn w:val="42"/>
    <w:link w:val="7"/>
    <w:autoRedefine/>
    <w:qFormat/>
    <w:uiPriority w:val="9"/>
    <w:rPr>
      <w:rFonts w:ascii="Arial" w:hAnsi="Arial" w:eastAsia="黑体" w:cs="Times New Roman"/>
      <w:b/>
      <w:bCs/>
      <w:sz w:val="24"/>
      <w:szCs w:val="24"/>
    </w:rPr>
  </w:style>
  <w:style w:type="character" w:customStyle="1" w:styleId="57">
    <w:name w:val="标题 7 字符"/>
    <w:basedOn w:val="42"/>
    <w:link w:val="8"/>
    <w:autoRedefine/>
    <w:qFormat/>
    <w:uiPriority w:val="0"/>
    <w:rPr>
      <w:rFonts w:ascii="Times New Roman" w:hAnsi="Times New Roman" w:eastAsia="宋体" w:cs="Times New Roman"/>
      <w:b/>
      <w:bCs/>
      <w:sz w:val="24"/>
      <w:szCs w:val="24"/>
    </w:rPr>
  </w:style>
  <w:style w:type="character" w:customStyle="1" w:styleId="58">
    <w:name w:val="标题 8 字符"/>
    <w:basedOn w:val="42"/>
    <w:link w:val="9"/>
    <w:autoRedefine/>
    <w:qFormat/>
    <w:uiPriority w:val="0"/>
    <w:rPr>
      <w:rFonts w:ascii="Arial" w:hAnsi="Arial" w:eastAsia="黑体" w:cs="Times New Roman"/>
      <w:sz w:val="24"/>
      <w:szCs w:val="24"/>
    </w:rPr>
  </w:style>
  <w:style w:type="character" w:customStyle="1" w:styleId="59">
    <w:name w:val="标题 9 字符"/>
    <w:basedOn w:val="42"/>
    <w:link w:val="10"/>
    <w:autoRedefine/>
    <w:qFormat/>
    <w:uiPriority w:val="9"/>
    <w:rPr>
      <w:rFonts w:ascii="Arial" w:hAnsi="Arial" w:eastAsia="黑体" w:cs="Times New Roman"/>
      <w:szCs w:val="21"/>
    </w:rPr>
  </w:style>
  <w:style w:type="character" w:customStyle="1" w:styleId="60">
    <w:name w:val="页眉 字符"/>
    <w:basedOn w:val="42"/>
    <w:link w:val="27"/>
    <w:autoRedefine/>
    <w:qFormat/>
    <w:uiPriority w:val="0"/>
    <w:rPr>
      <w:sz w:val="18"/>
      <w:szCs w:val="18"/>
    </w:rPr>
  </w:style>
  <w:style w:type="character" w:customStyle="1" w:styleId="61">
    <w:name w:val="页脚 字符"/>
    <w:basedOn w:val="42"/>
    <w:link w:val="25"/>
    <w:autoRedefine/>
    <w:qFormat/>
    <w:uiPriority w:val="0"/>
    <w:rPr>
      <w:sz w:val="18"/>
      <w:szCs w:val="18"/>
    </w:rPr>
  </w:style>
  <w:style w:type="character" w:customStyle="1" w:styleId="62">
    <w:name w:val="批注框文本 字符"/>
    <w:basedOn w:val="42"/>
    <w:link w:val="24"/>
    <w:autoRedefine/>
    <w:semiHidden/>
    <w:qFormat/>
    <w:uiPriority w:val="99"/>
    <w:rPr>
      <w:sz w:val="18"/>
      <w:szCs w:val="18"/>
    </w:rPr>
  </w:style>
  <w:style w:type="character" w:customStyle="1" w:styleId="63">
    <w:name w:val="正文文本缩进 字符"/>
    <w:basedOn w:val="42"/>
    <w:link w:val="16"/>
    <w:autoRedefine/>
    <w:qFormat/>
    <w:uiPriority w:val="0"/>
    <w:rPr>
      <w:rFonts w:ascii="Times New Roman" w:hAnsi="Times New Roman" w:eastAsia="宋体" w:cs="Times New Roman"/>
      <w:kern w:val="0"/>
      <w:sz w:val="20"/>
      <w:szCs w:val="20"/>
      <w:lang w:bidi="he-IL"/>
    </w:rPr>
  </w:style>
  <w:style w:type="paragraph" w:styleId="64">
    <w:name w:val="List Paragraph"/>
    <w:basedOn w:val="1"/>
    <w:link w:val="65"/>
    <w:autoRedefine/>
    <w:qFormat/>
    <w:uiPriority w:val="34"/>
    <w:pPr>
      <w:snapToGrid w:val="0"/>
      <w:spacing w:line="360" w:lineRule="auto"/>
      <w:jc w:val="left"/>
    </w:pPr>
    <w:rPr>
      <w:rFonts w:eastAsia="微软雅黑"/>
      <w:b/>
      <w:sz w:val="30"/>
    </w:rPr>
  </w:style>
  <w:style w:type="character" w:customStyle="1" w:styleId="65">
    <w:name w:val="列出段落 字符"/>
    <w:link w:val="64"/>
    <w:autoRedefine/>
    <w:qFormat/>
    <w:uiPriority w:val="34"/>
    <w:rPr>
      <w:rFonts w:ascii="Times New Roman" w:hAnsi="Times New Roman" w:eastAsia="微软雅黑" w:cs="Times New Roman"/>
      <w:b/>
      <w:kern w:val="0"/>
      <w:sz w:val="30"/>
      <w:szCs w:val="20"/>
    </w:rPr>
  </w:style>
  <w:style w:type="character" w:customStyle="1" w:styleId="66">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7">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8">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9">
    <w:name w:val="Body text|1_"/>
    <w:link w:val="70"/>
    <w:autoRedefine/>
    <w:qFormat/>
    <w:uiPriority w:val="0"/>
    <w:rPr>
      <w:rFonts w:ascii="宋体" w:hAnsi="宋体" w:cs="宋体"/>
      <w:sz w:val="28"/>
      <w:szCs w:val="28"/>
      <w:lang w:val="zh-TW" w:eastAsia="zh-TW" w:bidi="zh-TW"/>
    </w:rPr>
  </w:style>
  <w:style w:type="paragraph" w:customStyle="1" w:styleId="70">
    <w:name w:val="Body text|1"/>
    <w:basedOn w:val="1"/>
    <w:link w:val="69"/>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1">
    <w:name w:val="Header or footer|1_"/>
    <w:link w:val="72"/>
    <w:autoRedefine/>
    <w:qFormat/>
    <w:uiPriority w:val="0"/>
    <w:rPr>
      <w:sz w:val="22"/>
      <w:lang w:val="zh-TW" w:eastAsia="zh-TW" w:bidi="zh-TW"/>
    </w:rPr>
  </w:style>
  <w:style w:type="paragraph" w:customStyle="1" w:styleId="72">
    <w:name w:val="Header or footer|1"/>
    <w:basedOn w:val="1"/>
    <w:link w:val="71"/>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3">
    <w:name w:val="正文文本 3 字符"/>
    <w:basedOn w:val="42"/>
    <w:link w:val="14"/>
    <w:autoRedefine/>
    <w:semiHidden/>
    <w:qFormat/>
    <w:uiPriority w:val="99"/>
    <w:rPr>
      <w:rFonts w:ascii="Times New Roman" w:hAnsi="Times New Roman" w:eastAsia="宋体" w:cs="Times New Roman"/>
      <w:kern w:val="0"/>
      <w:sz w:val="16"/>
      <w:szCs w:val="16"/>
    </w:rPr>
  </w:style>
  <w:style w:type="character" w:customStyle="1" w:styleId="74">
    <w:name w:val="fontstyle01"/>
    <w:basedOn w:val="42"/>
    <w:autoRedefine/>
    <w:qFormat/>
    <w:uiPriority w:val="0"/>
    <w:rPr>
      <w:rFonts w:hint="eastAsia" w:ascii="宋体" w:hAnsi="宋体" w:eastAsia="宋体"/>
      <w:color w:val="000000"/>
      <w:sz w:val="44"/>
      <w:szCs w:val="44"/>
    </w:rPr>
  </w:style>
  <w:style w:type="character" w:customStyle="1" w:styleId="75">
    <w:name w:val="fontstyle21"/>
    <w:basedOn w:val="42"/>
    <w:autoRedefine/>
    <w:qFormat/>
    <w:uiPriority w:val="0"/>
    <w:rPr>
      <w:rFonts w:hint="default" w:ascii="Wingdings-Regular" w:hAnsi="Wingdings-Regular"/>
      <w:color w:val="000000"/>
      <w:sz w:val="22"/>
      <w:szCs w:val="22"/>
    </w:rPr>
  </w:style>
  <w:style w:type="character" w:customStyle="1" w:styleId="76">
    <w:name w:val="正文文本缩进 2 字符"/>
    <w:basedOn w:val="42"/>
    <w:link w:val="23"/>
    <w:autoRedefine/>
    <w:qFormat/>
    <w:uiPriority w:val="99"/>
    <w:rPr>
      <w:rFonts w:ascii="Times New Roman" w:hAnsi="Times New Roman" w:eastAsia="宋体" w:cs="Times New Roman"/>
      <w:kern w:val="0"/>
      <w:szCs w:val="20"/>
    </w:rPr>
  </w:style>
  <w:style w:type="character" w:customStyle="1" w:styleId="77">
    <w:name w:val="Unresolved Mention"/>
    <w:basedOn w:val="42"/>
    <w:autoRedefine/>
    <w:semiHidden/>
    <w:unhideWhenUsed/>
    <w:qFormat/>
    <w:uiPriority w:val="99"/>
    <w:rPr>
      <w:color w:val="605E5C"/>
      <w:shd w:val="clear" w:color="auto" w:fill="E1DFDD"/>
    </w:rPr>
  </w:style>
  <w:style w:type="character" w:customStyle="1" w:styleId="78">
    <w:name w:val="日期 字符"/>
    <w:basedOn w:val="42"/>
    <w:link w:val="22"/>
    <w:autoRedefine/>
    <w:semiHidden/>
    <w:qFormat/>
    <w:uiPriority w:val="99"/>
    <w:rPr>
      <w:rFonts w:ascii="Times New Roman" w:hAnsi="Times New Roman" w:eastAsia="宋体" w:cs="Times New Roman"/>
      <w:kern w:val="0"/>
      <w:szCs w:val="20"/>
    </w:rPr>
  </w:style>
  <w:style w:type="character" w:customStyle="1" w:styleId="79">
    <w:name w:val="正文缩进 字符"/>
    <w:link w:val="12"/>
    <w:autoRedefine/>
    <w:qFormat/>
    <w:uiPriority w:val="0"/>
    <w:rPr>
      <w:rFonts w:ascii="宋体"/>
      <w:sz w:val="24"/>
    </w:rPr>
  </w:style>
  <w:style w:type="character" w:customStyle="1" w:styleId="80">
    <w:name w:val="正文文本 字符"/>
    <w:basedOn w:val="42"/>
    <w:link w:val="15"/>
    <w:autoRedefine/>
    <w:qFormat/>
    <w:uiPriority w:val="0"/>
    <w:rPr>
      <w:rFonts w:ascii="Times New Roman" w:hAnsi="Times New Roman" w:eastAsia="宋体" w:cs="Times New Roman"/>
      <w:kern w:val="0"/>
      <w:szCs w:val="20"/>
    </w:rPr>
  </w:style>
  <w:style w:type="paragraph" w:customStyle="1" w:styleId="81">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WPSOffice手动目录 1"/>
    <w:autoRedefine/>
    <w:qFormat/>
    <w:uiPriority w:val="0"/>
    <w:rPr>
      <w:rFonts w:ascii="Times New Roman" w:hAnsi="Times New Roman" w:eastAsia="宋体" w:cs="Times New Roman"/>
      <w:lang w:val="en-US" w:eastAsia="zh-CN" w:bidi="ar-SA"/>
    </w:rPr>
  </w:style>
  <w:style w:type="paragraph" w:customStyle="1" w:styleId="83">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4">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5">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6">
    <w:name w:val="正文首行缩进 2 字符"/>
    <w:basedOn w:val="63"/>
    <w:link w:val="39"/>
    <w:autoRedefine/>
    <w:qFormat/>
    <w:uiPriority w:val="0"/>
    <w:rPr>
      <w:rFonts w:ascii="Times New Roman" w:hAnsi="Times New Roman" w:eastAsia="宋体" w:cs="Times New Roman"/>
      <w:kern w:val="0"/>
      <w:sz w:val="20"/>
      <w:szCs w:val="24"/>
      <w:lang w:bidi="he-IL"/>
    </w:rPr>
  </w:style>
  <w:style w:type="character" w:customStyle="1" w:styleId="87">
    <w:name w:val="正文首行缩进 字符"/>
    <w:basedOn w:val="80"/>
    <w:link w:val="38"/>
    <w:autoRedefine/>
    <w:semiHidden/>
    <w:qFormat/>
    <w:uiPriority w:val="99"/>
    <w:rPr>
      <w:rFonts w:ascii="Times New Roman" w:hAnsi="Times New Roman" w:eastAsia="宋体" w:cs="Times New Roman"/>
      <w:kern w:val="0"/>
      <w:szCs w:val="20"/>
    </w:rPr>
  </w:style>
  <w:style w:type="paragraph" w:customStyle="1" w:styleId="88">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9">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0">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1">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3">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4">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6">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7">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8">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9">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0">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1">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2">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4">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5">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6">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7">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8">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9">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0">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2">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5">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7">
    <w:name w:val="批注文字 字符"/>
    <w:basedOn w:val="42"/>
    <w:link w:val="13"/>
    <w:autoRedefine/>
    <w:qFormat/>
    <w:uiPriority w:val="0"/>
    <w:rPr>
      <w:rFonts w:ascii="Times New Roman" w:hAnsi="Times New Roman" w:eastAsia="宋体" w:cs="Times New Roman"/>
      <w:kern w:val="0"/>
      <w:sz w:val="20"/>
      <w:szCs w:val="20"/>
    </w:rPr>
  </w:style>
  <w:style w:type="character" w:customStyle="1" w:styleId="118">
    <w:name w:val="纯文本 字符"/>
    <w:basedOn w:val="42"/>
    <w:link w:val="20"/>
    <w:autoRedefine/>
    <w:qFormat/>
    <w:uiPriority w:val="0"/>
    <w:rPr>
      <w:rFonts w:ascii="宋体" w:hAnsi="Courier New" w:eastAsia="宋体" w:cs="Times New Roman"/>
      <w:kern w:val="0"/>
      <w:szCs w:val="20"/>
    </w:rPr>
  </w:style>
  <w:style w:type="character" w:customStyle="1" w:styleId="119">
    <w:name w:val="信息标题 字符"/>
    <w:basedOn w:val="42"/>
    <w:link w:val="35"/>
    <w:autoRedefine/>
    <w:qFormat/>
    <w:uiPriority w:val="0"/>
    <w:rPr>
      <w:rFonts w:ascii="Cambria" w:hAnsi="Cambria" w:eastAsia="宋体" w:cs="Times New Roman"/>
      <w:sz w:val="24"/>
      <w:szCs w:val="20"/>
      <w:shd w:val="pct20" w:color="auto" w:fill="auto"/>
    </w:rPr>
  </w:style>
  <w:style w:type="character" w:customStyle="1" w:styleId="120">
    <w:name w:val="font41"/>
    <w:basedOn w:val="42"/>
    <w:autoRedefine/>
    <w:qFormat/>
    <w:uiPriority w:val="0"/>
    <w:rPr>
      <w:rFonts w:hint="eastAsia" w:ascii="黑体" w:eastAsia="黑体" w:cs="黑体"/>
      <w:color w:val="000000"/>
      <w:sz w:val="18"/>
      <w:szCs w:val="18"/>
      <w:u w:val="none"/>
    </w:rPr>
  </w:style>
  <w:style w:type="character" w:customStyle="1" w:styleId="121">
    <w:name w:val="font31"/>
    <w:autoRedefine/>
    <w:qFormat/>
    <w:uiPriority w:val="0"/>
    <w:rPr>
      <w:rFonts w:hint="eastAsia" w:ascii="宋体" w:hAnsi="宋体" w:eastAsia="宋体" w:cs="宋体"/>
      <w:color w:val="000000"/>
      <w:sz w:val="18"/>
      <w:szCs w:val="18"/>
      <w:u w:val="none"/>
    </w:rPr>
  </w:style>
  <w:style w:type="character" w:customStyle="1" w:styleId="122">
    <w:name w:val="NormalCharacter"/>
    <w:autoRedefine/>
    <w:semiHidden/>
    <w:qFormat/>
    <w:uiPriority w:val="0"/>
    <w:rPr>
      <w:rFonts w:ascii="Calibri" w:hAnsi="Calibri" w:cs="新宋体"/>
      <w:b/>
      <w:bCs/>
      <w:kern w:val="2"/>
      <w:sz w:val="28"/>
      <w:szCs w:val="36"/>
      <w:lang w:val="en-US" w:eastAsia="zh-CN" w:bidi="ar-SA"/>
    </w:rPr>
  </w:style>
  <w:style w:type="character" w:customStyle="1" w:styleId="123">
    <w:name w:val="font11"/>
    <w:basedOn w:val="42"/>
    <w:autoRedefine/>
    <w:qFormat/>
    <w:uiPriority w:val="0"/>
    <w:rPr>
      <w:rFonts w:hint="eastAsia" w:ascii="宋体" w:hAnsi="宋体" w:eastAsia="宋体"/>
      <w:b/>
      <w:color w:val="000000"/>
      <w:kern w:val="2"/>
      <w:sz w:val="18"/>
      <w:u w:val="none"/>
    </w:rPr>
  </w:style>
  <w:style w:type="paragraph" w:customStyle="1" w:styleId="124">
    <w:name w:val="模板普通正文"/>
    <w:basedOn w:val="16"/>
    <w:autoRedefine/>
    <w:qFormat/>
    <w:uiPriority w:val="0"/>
    <w:pPr>
      <w:adjustRightInd/>
      <w:spacing w:beforeLines="50" w:after="10" w:line="240" w:lineRule="auto"/>
      <w:ind w:left="0" w:firstLine="490" w:firstLineChars="175"/>
    </w:pPr>
    <w:rPr>
      <w:kern w:val="2"/>
      <w:lang w:bidi="ar-SA"/>
    </w:rPr>
  </w:style>
  <w:style w:type="paragraph" w:customStyle="1" w:styleId="125">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6">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7">
    <w:name w:val="无间隔1"/>
    <w:autoRedefine/>
    <w:qFormat/>
    <w:uiPriority w:val="1"/>
    <w:rPr>
      <w:rFonts w:ascii="Calibri" w:hAnsi="Calibri" w:eastAsia="宋体" w:cs="黑体"/>
      <w:sz w:val="22"/>
      <w:szCs w:val="22"/>
      <w:lang w:val="en-US" w:eastAsia="zh-CN" w:bidi="ar-SA"/>
    </w:rPr>
  </w:style>
  <w:style w:type="character" w:customStyle="1" w:styleId="128">
    <w:name w:val="正文文本缩进 3 字符"/>
    <w:basedOn w:val="42"/>
    <w:link w:val="31"/>
    <w:autoRedefine/>
    <w:semiHidden/>
    <w:qFormat/>
    <w:uiPriority w:val="99"/>
    <w:rPr>
      <w:rFonts w:ascii="Times New Roman" w:hAnsi="Times New Roman" w:eastAsia="宋体" w:cs="Times New Roman"/>
      <w:kern w:val="0"/>
      <w:sz w:val="16"/>
      <w:szCs w:val="16"/>
    </w:rPr>
  </w:style>
  <w:style w:type="paragraph" w:customStyle="1" w:styleId="129">
    <w:name w:val="文本"/>
    <w:basedOn w:val="1"/>
    <w:link w:val="130"/>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0">
    <w:name w:val="文本 Char"/>
    <w:link w:val="129"/>
    <w:autoRedefine/>
    <w:qFormat/>
    <w:uiPriority w:val="0"/>
    <w:rPr>
      <w:rFonts w:ascii="仿宋_GB2312" w:hAnsi="Times New Roman" w:eastAsia="仿宋_GB2312" w:cs="Times New Roman"/>
      <w:sz w:val="24"/>
      <w:szCs w:val="24"/>
    </w:rPr>
  </w:style>
  <w:style w:type="paragraph" w:customStyle="1" w:styleId="131">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2">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3">
    <w:name w:val="D&amp;L"/>
    <w:basedOn w:val="2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4">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5">
    <w:name w:val="纯文本1"/>
    <w:basedOn w:val="1"/>
    <w:autoRedefine/>
    <w:qFormat/>
    <w:uiPriority w:val="0"/>
    <w:pPr>
      <w:adjustRightInd w:val="0"/>
      <w:textAlignment w:val="baseline"/>
    </w:pPr>
    <w:rPr>
      <w:rFonts w:ascii="宋体" w:hAnsi="宋体" w:eastAsia="楷体_GB2312" w:cs="宋体"/>
      <w:sz w:val="28"/>
    </w:rPr>
  </w:style>
  <w:style w:type="paragraph" w:customStyle="1" w:styleId="13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7">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38">
    <w:name w:val="列出段落1"/>
    <w:basedOn w:val="1"/>
    <w:autoRedefine/>
    <w:qFormat/>
    <w:uiPriority w:val="0"/>
    <w:pPr>
      <w:ind w:firstLine="420" w:firstLineChars="200"/>
    </w:pPr>
    <w:rPr>
      <w:szCs w:val="21"/>
    </w:rPr>
  </w:style>
  <w:style w:type="paragraph" w:customStyle="1" w:styleId="1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40">
    <w:name w:val="Table Text"/>
    <w:basedOn w:val="1"/>
    <w:autoRedefine/>
    <w:semiHidden/>
    <w:qFormat/>
    <w:uiPriority w:val="0"/>
    <w:rPr>
      <w:rFonts w:ascii="Arial" w:hAnsi="Arial" w:eastAsia="Arial" w:cs="Arial"/>
      <w:sz w:val="21"/>
      <w:szCs w:val="21"/>
      <w:lang w:val="en-US" w:eastAsia="en-US" w:bidi="ar-SA"/>
    </w:rPr>
  </w:style>
  <w:style w:type="table" w:customStyle="1" w:styleId="14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37</Pages>
  <Words>9435</Words>
  <Characters>10262</Characters>
  <Lines>29</Lines>
  <Paragraphs>8</Paragraphs>
  <TotalTime>8</TotalTime>
  <ScaleCrop>false</ScaleCrop>
  <LinksUpToDate>false</LinksUpToDate>
  <CharactersWithSpaces>10583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2026-09-28T02:53:11Z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73E4CDD0862F4833BA5F2F4998E21626_13</vt:lpwstr>
  </property>
  <property fmtid="{D5CDD505-2E9C-101B-9397-08002B2CF9AE}" pid="4" name="KSOTemplateDocerSaveRecord">
    <vt:lpwstr>eyJoZGlkIjoiNDFjNjc4MzM2NGNhOTY1ZjQ2ZmNmMWE4MmVlYzQxYjkiLCJ1c2VySWQiOiIzMDI1ODcyMjYifQ==</vt:lpwstr>
  </property>
</Properties>
</file>